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C1BE6">
      <w:pPr>
        <w:spacing w:line="298" w:lineRule="auto"/>
        <w:jc w:val="center"/>
        <w:rPr>
          <w:rFonts w:hint="eastAsia" w:ascii="宋体" w:hAnsi="宋体" w:cs="宋体"/>
          <w:b/>
          <w:sz w:val="32"/>
          <w:szCs w:val="32"/>
        </w:rPr>
      </w:pPr>
      <w:r>
        <w:rPr>
          <w:rFonts w:hint="eastAsia" w:ascii="宋体" w:hAnsi="宋体" w:cs="宋体"/>
          <w:b/>
          <w:sz w:val="32"/>
          <w:szCs w:val="32"/>
        </w:rPr>
        <w:t>永兴特种材料科技股份有限公司</w:t>
      </w:r>
    </w:p>
    <w:p w14:paraId="6EBD5BF4">
      <w:pPr>
        <w:spacing w:line="298" w:lineRule="auto"/>
        <w:jc w:val="center"/>
        <w:rPr>
          <w:rFonts w:hint="eastAsia" w:ascii="宋体" w:hAnsi="宋体" w:cs="宋体"/>
          <w:b/>
          <w:sz w:val="32"/>
          <w:szCs w:val="32"/>
        </w:rPr>
      </w:pPr>
      <w:r>
        <w:rPr>
          <w:rFonts w:hint="eastAsia" w:ascii="宋体" w:hAnsi="宋体" w:cs="宋体"/>
          <w:b/>
          <w:sz w:val="32"/>
          <w:szCs w:val="32"/>
        </w:rPr>
        <w:t>对外捐赠管理办法</w:t>
      </w:r>
    </w:p>
    <w:p w14:paraId="75E884CA">
      <w:pPr>
        <w:spacing w:line="298" w:lineRule="auto"/>
        <w:jc w:val="center"/>
        <w:rPr>
          <w:rFonts w:hint="eastAsia" w:ascii="宋体" w:hAnsi="宋体" w:eastAsia="宋体" w:cs="宋体"/>
          <w:b/>
          <w:sz w:val="30"/>
          <w:szCs w:val="30"/>
        </w:rPr>
      </w:pPr>
    </w:p>
    <w:p w14:paraId="4388FC93">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总  则</w:t>
      </w:r>
    </w:p>
    <w:p w14:paraId="20A9321B">
      <w:pPr>
        <w:tabs>
          <w:tab w:val="left" w:pos="1440"/>
          <w:tab w:val="left" w:pos="1980"/>
        </w:tabs>
        <w:spacing w:line="298" w:lineRule="auto"/>
        <w:rPr>
          <w:rFonts w:hint="eastAsia" w:ascii="宋体" w:hAnsi="宋体" w:cs="宋体"/>
          <w:b/>
          <w:sz w:val="24"/>
        </w:rPr>
      </w:pPr>
    </w:p>
    <w:p w14:paraId="15BAEF8A">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为了进一步规范永兴特种材料科技股份有限公司（以下简称“公司”）的对外捐赠行为，加强公司对捐赠事项的管理，更好地履行公司的社会责任和义务，全面、有效地宣传和提升公司品牌及企业形象，维护公司股东、债权人及员工利益，根据《中华人民共和国公益事业捐赠法》、《中华人民共和国公司法》及《深圳证券交易所股票上市规则》等法律、法规，制定本办法。</w:t>
      </w:r>
    </w:p>
    <w:p w14:paraId="7683DDCC">
      <w:pPr>
        <w:tabs>
          <w:tab w:val="left" w:pos="1980"/>
        </w:tabs>
        <w:spacing w:line="298" w:lineRule="auto"/>
        <w:rPr>
          <w:rFonts w:hint="eastAsia" w:ascii="宋体" w:hAnsi="宋体" w:cs="宋体"/>
          <w:sz w:val="24"/>
        </w:rPr>
      </w:pPr>
    </w:p>
    <w:p w14:paraId="0C2967E2">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本办法适用于公司及子公司（含控股和全资子公司，下同），子公司不得自行对外捐赠，子公司应当按照本办法规定决策程序提交母公司批准后方能对外捐赠。</w:t>
      </w:r>
    </w:p>
    <w:p w14:paraId="4980AC57">
      <w:pPr>
        <w:tabs>
          <w:tab w:val="left" w:pos="1980"/>
        </w:tabs>
        <w:spacing w:line="298" w:lineRule="auto"/>
        <w:rPr>
          <w:rFonts w:hint="eastAsia" w:ascii="宋体" w:hAnsi="宋体" w:cs="宋体"/>
          <w:sz w:val="24"/>
        </w:rPr>
      </w:pPr>
    </w:p>
    <w:p w14:paraId="591C3E33">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本办法所称“对外捐赠”，是指公司及子公司以公司或以子公司的名义自愿无偿将其有权处分的合法财产赠送给合法的受赠人，用于与生产经营活动没有直接关系的公益事业的行为。</w:t>
      </w:r>
    </w:p>
    <w:p w14:paraId="0FC26596">
      <w:pPr>
        <w:tabs>
          <w:tab w:val="left" w:pos="1980"/>
        </w:tabs>
        <w:spacing w:line="298" w:lineRule="auto"/>
        <w:rPr>
          <w:rFonts w:hint="eastAsia" w:ascii="宋体" w:hAnsi="宋体" w:cs="宋体"/>
          <w:sz w:val="24"/>
        </w:rPr>
      </w:pPr>
    </w:p>
    <w:p w14:paraId="68DA1045">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对外捐赠应当遵循《中华人民共和国公益事业捐赠法》以及国家其他有关法律、法规的规定，通过依法成立的公益性社会团体和公益性非营利的事业单位或者县级以上人民政府及其组成部门进行。特殊情况下，也可以通过合法的新闻媒体等进行。</w:t>
      </w:r>
    </w:p>
    <w:p w14:paraId="540233E3">
      <w:pPr>
        <w:tabs>
          <w:tab w:val="left" w:pos="1980"/>
        </w:tabs>
        <w:spacing w:line="298" w:lineRule="auto"/>
        <w:rPr>
          <w:rFonts w:hint="eastAsia" w:ascii="宋体" w:hAnsi="宋体" w:cs="宋体"/>
          <w:sz w:val="24"/>
        </w:rPr>
      </w:pPr>
    </w:p>
    <w:p w14:paraId="06C3D16B">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对外捐赠的原则</w:t>
      </w:r>
    </w:p>
    <w:p w14:paraId="2A27E688">
      <w:pPr>
        <w:tabs>
          <w:tab w:val="left" w:pos="1980"/>
        </w:tabs>
        <w:spacing w:line="298" w:lineRule="auto"/>
        <w:rPr>
          <w:rFonts w:hint="eastAsia" w:ascii="宋体" w:hAnsi="宋体" w:cs="宋体"/>
          <w:sz w:val="24"/>
        </w:rPr>
      </w:pPr>
    </w:p>
    <w:p w14:paraId="72EE32AC">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自愿无偿：公司对外捐赠后，不得要求受赠方在融资、市场准入、行政许可、占有其他资源等方面创造便利条件。</w:t>
      </w:r>
    </w:p>
    <w:p w14:paraId="1CA162D9">
      <w:pPr>
        <w:autoSpaceDE w:val="0"/>
        <w:autoSpaceDN w:val="0"/>
        <w:adjustRightInd w:val="0"/>
        <w:snapToGrid w:val="0"/>
        <w:spacing w:line="298" w:lineRule="auto"/>
        <w:rPr>
          <w:rFonts w:hint="eastAsia" w:ascii="宋体" w:hAnsi="宋体" w:cs="宋体"/>
          <w:sz w:val="24"/>
        </w:rPr>
      </w:pPr>
    </w:p>
    <w:p w14:paraId="1A9DD2BE">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权责清晰：公司董事、高级管理人员或者其他职工不得将公司拥有的财产以个人名义对外捐赠，公司对外捐赠有权要求受赠人落实自己合法的捐赠意愿，不能将捐赠财产挪作他用。</w:t>
      </w:r>
    </w:p>
    <w:p w14:paraId="4EF46929">
      <w:pPr>
        <w:tabs>
          <w:tab w:val="left" w:pos="1980"/>
        </w:tabs>
        <w:spacing w:line="298" w:lineRule="auto"/>
        <w:rPr>
          <w:rFonts w:hint="eastAsia" w:ascii="宋体" w:hAnsi="宋体" w:cs="宋体"/>
          <w:sz w:val="24"/>
        </w:rPr>
      </w:pPr>
    </w:p>
    <w:p w14:paraId="7B9FBE52">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量力而行：公司应在力所能及的范围内，积极参加社会公益活动，由于对外捐赠将导致亏损或者影响公司正常生产经营的，除特殊情况以外，不得对外捐赠。</w:t>
      </w:r>
    </w:p>
    <w:p w14:paraId="6BA13370">
      <w:pPr>
        <w:tabs>
          <w:tab w:val="left" w:pos="1980"/>
        </w:tabs>
        <w:spacing w:line="298" w:lineRule="auto"/>
        <w:rPr>
          <w:rFonts w:hint="eastAsia" w:ascii="宋体" w:hAnsi="宋体" w:cs="宋体"/>
          <w:sz w:val="24"/>
        </w:rPr>
      </w:pPr>
    </w:p>
    <w:p w14:paraId="288021F9">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诚实守信：公司按照议事规范审议决定并已经向社会公众或者受赠对象承诺的捐赠，必须诚实履行。</w:t>
      </w:r>
    </w:p>
    <w:p w14:paraId="6EFAE9C9">
      <w:pPr>
        <w:tabs>
          <w:tab w:val="left" w:pos="1980"/>
        </w:tabs>
        <w:spacing w:line="298" w:lineRule="auto"/>
        <w:rPr>
          <w:rFonts w:hint="eastAsia" w:ascii="宋体" w:hAnsi="宋体" w:cs="宋体"/>
          <w:sz w:val="24"/>
        </w:rPr>
      </w:pPr>
    </w:p>
    <w:p w14:paraId="2DF75326">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对外捐赠的范围</w:t>
      </w:r>
    </w:p>
    <w:p w14:paraId="4A83B865">
      <w:pPr>
        <w:spacing w:line="298" w:lineRule="auto"/>
        <w:ind w:left="3435"/>
        <w:rPr>
          <w:rFonts w:hint="eastAsia" w:ascii="宋体" w:hAnsi="宋体" w:cs="宋体"/>
          <w:sz w:val="24"/>
        </w:rPr>
      </w:pPr>
    </w:p>
    <w:p w14:paraId="3E62E5B3">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rPr>
        <w:t>公</w:t>
      </w:r>
      <w:r>
        <w:rPr>
          <w:rFonts w:hint="eastAsia" w:ascii="宋体" w:hAnsi="宋体" w:cs="宋体"/>
          <w:sz w:val="24"/>
        </w:rPr>
        <w:t>司可以用于对外捐赠的财产包括现金和实物资产（包括库存商品、固定资产及其他有形资产等）。</w:t>
      </w:r>
    </w:p>
    <w:p w14:paraId="3411384F">
      <w:pPr>
        <w:tabs>
          <w:tab w:val="left" w:pos="2410"/>
        </w:tabs>
        <w:spacing w:line="298" w:lineRule="auto"/>
        <w:ind w:left="1418"/>
        <w:rPr>
          <w:rFonts w:hint="eastAsia" w:ascii="宋体" w:hAnsi="宋体" w:cs="宋体"/>
          <w:sz w:val="24"/>
        </w:rPr>
      </w:pPr>
      <w:r>
        <w:rPr>
          <w:rFonts w:hint="eastAsia" w:ascii="宋体" w:hAnsi="宋体" w:cs="宋体"/>
          <w:sz w:val="24"/>
        </w:rPr>
        <w:t>公司日常经营需用的主要固定资产、持有的股权和债权、国家特准储备物资、国家财政拨款、受托代管财产、已设置担保物权的财产、权属关系不清的财产，或者变质、残损、过期报废的商品物资，不得用于对外捐赠。</w:t>
      </w:r>
    </w:p>
    <w:p w14:paraId="114FEB57">
      <w:pPr>
        <w:tabs>
          <w:tab w:val="left" w:pos="2410"/>
        </w:tabs>
        <w:spacing w:line="298" w:lineRule="auto"/>
        <w:ind w:left="1418"/>
        <w:rPr>
          <w:rFonts w:hint="eastAsia" w:ascii="宋体" w:hAnsi="宋体" w:cs="宋体"/>
          <w:sz w:val="24"/>
        </w:rPr>
      </w:pPr>
    </w:p>
    <w:p w14:paraId="06CC4705">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对外捐赠的类型和受益人</w:t>
      </w:r>
    </w:p>
    <w:p w14:paraId="380305DC">
      <w:pPr>
        <w:spacing w:line="298" w:lineRule="auto"/>
        <w:ind w:left="3435"/>
        <w:rPr>
          <w:rFonts w:hint="eastAsia" w:ascii="宋体" w:hAnsi="宋体" w:cs="宋体"/>
          <w:sz w:val="24"/>
        </w:rPr>
      </w:pPr>
    </w:p>
    <w:p w14:paraId="7F26F2A4">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公司一般可以按照以下类型进行对外捐赠</w:t>
      </w:r>
    </w:p>
    <w:p w14:paraId="058AAFB7">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公益性捐赠，即向教育、科学、文化、卫生医疗、体育事业和环境保护、社会公共设施建设的捐赠。</w:t>
      </w:r>
    </w:p>
    <w:p w14:paraId="7E3F56E6">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 xml:space="preserve">救济性捐赠，即向遭受自然灾害或者国家确认的“老、少、边、穷”等地区以及慈善协会、红十字会、残疾人联合会、青少年基金会等社会团体或者困难的社会弱势群体和个人提供的用于生产、生活救济、救助的捐赠。 </w:t>
      </w:r>
    </w:p>
    <w:p w14:paraId="3C5177AA">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其他捐赠，即除上述捐赠以外，公司出于弘扬人道主义目的或者促进社会发展与进步的其他社会公共福利事业的捐赠。</w:t>
      </w:r>
    </w:p>
    <w:p w14:paraId="6812FF17">
      <w:pPr>
        <w:tabs>
          <w:tab w:val="left" w:pos="2410"/>
        </w:tabs>
        <w:spacing w:line="298" w:lineRule="auto"/>
        <w:ind w:left="1418"/>
        <w:rPr>
          <w:rFonts w:hint="eastAsia" w:ascii="宋体" w:hAnsi="宋体" w:cs="宋体"/>
          <w:sz w:val="24"/>
        </w:rPr>
      </w:pPr>
    </w:p>
    <w:p w14:paraId="68184DCC">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对外捐赠的受益人应当为公益性社会团体、公益性非营利事业单位及需要捐助的个人。其中，公益性社会团体是指依法成立的，以发展公益事业为宗旨的基金会、慈善组织等社会团体；公益性非营利事业单位是指依法成立的，从事公益事业的不以营利为目的的教育机构、科学研究机构、医疗卫生机构、社会公共文化机构、社会公共体育机构和社会福利机构等。</w:t>
      </w:r>
      <w:r>
        <w:rPr>
          <w:rFonts w:hint="eastAsia" w:ascii="宋体" w:hAnsi="宋体" w:cs="宋体"/>
          <w:sz w:val="24"/>
        </w:rPr>
        <w:cr/>
      </w:r>
    </w:p>
    <w:p w14:paraId="5369F987">
      <w:pPr>
        <w:tabs>
          <w:tab w:val="left" w:pos="2410"/>
        </w:tabs>
        <w:spacing w:line="298" w:lineRule="auto"/>
        <w:ind w:left="2410"/>
        <w:rPr>
          <w:rFonts w:hint="eastAsia" w:ascii="宋体" w:hAnsi="宋体" w:cs="宋体"/>
          <w:sz w:val="24"/>
        </w:rPr>
      </w:pPr>
    </w:p>
    <w:p w14:paraId="0A39746C">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对外捐赠的决策程序和规则</w:t>
      </w:r>
    </w:p>
    <w:p w14:paraId="60DC7E67">
      <w:pPr>
        <w:spacing w:line="298" w:lineRule="auto"/>
        <w:ind w:left="3435"/>
        <w:rPr>
          <w:rFonts w:hint="eastAsia" w:ascii="宋体" w:hAnsi="宋体" w:cs="宋体"/>
          <w:sz w:val="24"/>
        </w:rPr>
      </w:pPr>
    </w:p>
    <w:p w14:paraId="19C25563">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公司对外捐赠的审批应严格按照国家相关法律、法规和《公司章程》、《股东会议事规则》、《董事会议事规则》及本办法规定的权限履行审批程序。</w:t>
      </w:r>
      <w:r>
        <w:rPr>
          <w:rFonts w:hint="eastAsia" w:ascii="宋体" w:hAnsi="宋体" w:cs="宋体"/>
          <w:sz w:val="24"/>
        </w:rPr>
        <w:cr/>
      </w:r>
    </w:p>
    <w:p w14:paraId="075FE7B5">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对外捐赠以过去连续12个月为核算周期，根据捐赠金额大小分级审批。对外捐赠包括现金和实物资产捐赠，其中：实物资产按捐赠时的账面净值等比例折算为金额计算，同时存在账面值和评估值的，以高者为准。公司及公司下属全资、控股子公司发生的对外捐赠按如下标准审议执行：</w:t>
      </w:r>
    </w:p>
    <w:p w14:paraId="60E6E908">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单笔捐赠金额或连续12个月内累计捐赠总额占公司最近一期经审计净资产的10%或净利润的10%以上的，由公司董事会审议通过后实施；</w:t>
      </w:r>
    </w:p>
    <w:p w14:paraId="356CF701">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单笔捐赠金额或连续12个月内累计捐赠总额占公司最近一期经审计净资产的50%或净利润的50%以上的，由公司股东会批准后实施；</w:t>
      </w:r>
    </w:p>
    <w:p w14:paraId="69E3E726">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未达到需提交董事会审议标准的对外捐赠，由公司</w:t>
      </w:r>
      <w:r>
        <w:rPr>
          <w:rFonts w:hint="eastAsia" w:ascii="宋体" w:hAnsi="宋体" w:cs="宋体"/>
          <w:sz w:val="24"/>
          <w:lang w:val="en-US" w:eastAsia="zh-CN"/>
        </w:rPr>
        <w:t>董事长</w:t>
      </w:r>
      <w:r>
        <w:rPr>
          <w:rFonts w:hint="eastAsia" w:ascii="宋体" w:hAnsi="宋体" w:cs="宋体"/>
          <w:sz w:val="24"/>
        </w:rPr>
        <w:t>审批通过后实施；</w:t>
      </w:r>
      <w:bookmarkStart w:id="0" w:name="_GoBack"/>
      <w:bookmarkEnd w:id="0"/>
    </w:p>
    <w:p w14:paraId="5D6F3FE9">
      <w:pPr>
        <w:numPr>
          <w:ilvl w:val="3"/>
          <w:numId w:val="2"/>
        </w:numPr>
        <w:tabs>
          <w:tab w:val="left" w:pos="2410"/>
          <w:tab w:val="clear" w:pos="1980"/>
        </w:tabs>
        <w:spacing w:line="298" w:lineRule="auto"/>
        <w:ind w:left="2410" w:hanging="992"/>
        <w:rPr>
          <w:rFonts w:hint="eastAsia" w:ascii="宋体" w:hAnsi="宋体" w:cs="宋体"/>
          <w:sz w:val="24"/>
        </w:rPr>
      </w:pPr>
      <w:r>
        <w:rPr>
          <w:rFonts w:hint="eastAsia" w:ascii="宋体" w:hAnsi="宋体" w:cs="宋体"/>
          <w:sz w:val="24"/>
        </w:rPr>
        <w:t>已按照本条规定履行相关义务的，不再纳入相关的累计计算范围。本办法中所述“累计捐赠金额”，包括公司及全资、控股子公司同期发生的捐赠金额。</w:t>
      </w:r>
    </w:p>
    <w:p w14:paraId="3F7BE6C3">
      <w:pPr>
        <w:tabs>
          <w:tab w:val="left" w:pos="1980"/>
        </w:tabs>
        <w:spacing w:line="298" w:lineRule="auto"/>
        <w:rPr>
          <w:rFonts w:hint="eastAsia" w:ascii="宋体" w:hAnsi="宋体" w:cs="宋体"/>
          <w:sz w:val="24"/>
        </w:rPr>
      </w:pPr>
    </w:p>
    <w:p w14:paraId="3BCD4BF4">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公司对外捐赠，由经办部门拟定捐赠方案，由财务部门就捐赠支出对公司财务状况和经营成果的影响进行分析，经办部门分管领导审核后，按照本办法第十三条所列情况，履行相应的审批程序。</w:t>
      </w:r>
    </w:p>
    <w:p w14:paraId="1919A057">
      <w:pPr>
        <w:tabs>
          <w:tab w:val="left" w:pos="2410"/>
        </w:tabs>
        <w:spacing w:line="298" w:lineRule="auto"/>
        <w:ind w:left="1418"/>
        <w:rPr>
          <w:rFonts w:hint="eastAsia" w:ascii="宋体" w:hAnsi="宋体" w:cs="宋体"/>
          <w:sz w:val="24"/>
        </w:rPr>
      </w:pPr>
      <w:r>
        <w:rPr>
          <w:rFonts w:hint="eastAsia" w:ascii="宋体" w:hAnsi="宋体" w:cs="宋体"/>
          <w:sz w:val="24"/>
        </w:rPr>
        <w:t>捐赠方案应当包括以下内容：捐赠事由、捐赠对象、捐赠途径、捐赠方式、捐赠财产构成及其数额等内容。</w:t>
      </w:r>
    </w:p>
    <w:p w14:paraId="7670CADF">
      <w:pPr>
        <w:tabs>
          <w:tab w:val="left" w:pos="2410"/>
        </w:tabs>
        <w:spacing w:line="298" w:lineRule="auto"/>
        <w:ind w:left="1418"/>
        <w:rPr>
          <w:rFonts w:hint="eastAsia" w:ascii="宋体" w:hAnsi="宋体" w:cs="宋体"/>
          <w:sz w:val="24"/>
        </w:rPr>
      </w:pPr>
    </w:p>
    <w:p w14:paraId="1842C51A">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公司对外捐赠事项完成后，经办部门必须将相关批复、捐赠证明及捐赠执行的图文资料妥善存档备查。对外捐赠事项管理列入公司审计内容。</w:t>
      </w:r>
    </w:p>
    <w:p w14:paraId="7EACEC61">
      <w:pPr>
        <w:tabs>
          <w:tab w:val="left" w:pos="2410"/>
        </w:tabs>
        <w:spacing w:line="298" w:lineRule="auto"/>
        <w:ind w:left="1418"/>
        <w:rPr>
          <w:rFonts w:hint="eastAsia" w:ascii="宋体" w:hAnsi="宋体" w:cs="宋体"/>
          <w:sz w:val="24"/>
        </w:rPr>
      </w:pPr>
    </w:p>
    <w:p w14:paraId="0A5C3FEF">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法律责任</w:t>
      </w:r>
    </w:p>
    <w:p w14:paraId="6E99FAA0">
      <w:pPr>
        <w:tabs>
          <w:tab w:val="left" w:pos="2410"/>
        </w:tabs>
        <w:spacing w:line="298" w:lineRule="auto"/>
        <w:ind w:left="1418"/>
        <w:rPr>
          <w:rFonts w:hint="eastAsia" w:ascii="宋体" w:hAnsi="宋体" w:cs="宋体"/>
          <w:sz w:val="24"/>
        </w:rPr>
      </w:pPr>
    </w:p>
    <w:p w14:paraId="58C4762A">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未执行本办法规定而擅自进行捐赠，或者以权谋私、转移资产等违法违纪的捐赠，公司将视情节轻重，对负有直接责任的主管人员和其他直接责任人处以降薪降职、免职、解除劳动合同等处分，构成犯罪的，移交司法机关处理。</w:t>
      </w:r>
    </w:p>
    <w:p w14:paraId="21113DCB">
      <w:pPr>
        <w:tabs>
          <w:tab w:val="left" w:pos="1980"/>
        </w:tabs>
        <w:spacing w:line="298" w:lineRule="auto"/>
        <w:ind w:left="1440"/>
        <w:rPr>
          <w:rFonts w:hint="eastAsia" w:ascii="宋体" w:hAnsi="宋体" w:cs="宋体"/>
          <w:sz w:val="24"/>
        </w:rPr>
      </w:pPr>
    </w:p>
    <w:p w14:paraId="368442CC">
      <w:pPr>
        <w:numPr>
          <w:ilvl w:val="0"/>
          <w:numId w:val="1"/>
        </w:numPr>
        <w:tabs>
          <w:tab w:val="left" w:pos="1080"/>
          <w:tab w:val="clear" w:pos="4260"/>
        </w:tabs>
        <w:spacing w:line="298" w:lineRule="auto"/>
        <w:ind w:left="0" w:firstLine="0"/>
        <w:jc w:val="center"/>
        <w:rPr>
          <w:rFonts w:hint="eastAsia" w:ascii="宋体" w:hAnsi="宋体" w:eastAsia="宋体" w:cs="宋体"/>
          <w:b/>
          <w:sz w:val="24"/>
        </w:rPr>
      </w:pPr>
      <w:r>
        <w:rPr>
          <w:rFonts w:hint="eastAsia" w:ascii="宋体" w:hAnsi="宋体" w:eastAsia="宋体" w:cs="宋体"/>
          <w:b/>
          <w:sz w:val="24"/>
        </w:rPr>
        <w:t>附  则</w:t>
      </w:r>
    </w:p>
    <w:p w14:paraId="0DE4F146">
      <w:pPr>
        <w:tabs>
          <w:tab w:val="left" w:pos="1980"/>
        </w:tabs>
        <w:spacing w:line="298" w:lineRule="auto"/>
        <w:ind w:left="1440"/>
        <w:rPr>
          <w:rFonts w:hint="eastAsia" w:ascii="宋体" w:hAnsi="宋体" w:cs="宋体"/>
          <w:sz w:val="24"/>
        </w:rPr>
      </w:pPr>
    </w:p>
    <w:p w14:paraId="4D165CB3">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本办法未尽事宜，依照国家有关法律、法规、规范性文件以及《公司章程》的有关规定执行。本办法与有关法律、法规、规范性文件以及《公司章程》的有关规定不一致的，以有关法律、法规、规范性文件以及《公司章程》的规定为准。</w:t>
      </w:r>
    </w:p>
    <w:p w14:paraId="18C8BDA4">
      <w:pPr>
        <w:tabs>
          <w:tab w:val="left" w:pos="1980"/>
        </w:tabs>
        <w:spacing w:line="298" w:lineRule="auto"/>
        <w:rPr>
          <w:rFonts w:hint="eastAsia" w:ascii="宋体" w:hAnsi="宋体" w:cs="宋体"/>
          <w:sz w:val="24"/>
        </w:rPr>
      </w:pPr>
    </w:p>
    <w:p w14:paraId="7C4C69B6">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本办法由公司董事会负责修订与解释。</w:t>
      </w:r>
    </w:p>
    <w:p w14:paraId="468397E6">
      <w:pPr>
        <w:tabs>
          <w:tab w:val="left" w:pos="1980"/>
        </w:tabs>
        <w:spacing w:line="298" w:lineRule="auto"/>
        <w:ind w:left="1440"/>
        <w:rPr>
          <w:rFonts w:hint="eastAsia" w:ascii="宋体" w:hAnsi="宋体" w:cs="宋体"/>
          <w:sz w:val="24"/>
        </w:rPr>
      </w:pPr>
    </w:p>
    <w:p w14:paraId="5045264B">
      <w:pPr>
        <w:numPr>
          <w:ilvl w:val="1"/>
          <w:numId w:val="2"/>
        </w:numPr>
        <w:tabs>
          <w:tab w:val="left" w:pos="1440"/>
          <w:tab w:val="left" w:pos="1980"/>
          <w:tab w:val="clear" w:pos="816"/>
        </w:tabs>
        <w:spacing w:line="298" w:lineRule="auto"/>
        <w:ind w:left="1440" w:hanging="1440"/>
        <w:rPr>
          <w:rFonts w:hint="eastAsia" w:ascii="宋体" w:hAnsi="宋体" w:cs="宋体"/>
          <w:sz w:val="24"/>
        </w:rPr>
      </w:pPr>
      <w:r>
        <w:rPr>
          <w:rFonts w:hint="eastAsia" w:ascii="宋体" w:hAnsi="宋体" w:cs="宋体"/>
          <w:sz w:val="24"/>
        </w:rPr>
        <w:t>本办法自董事会审议通过之日起生效，修改时亦同。</w:t>
      </w:r>
    </w:p>
    <w:p w14:paraId="4535DD57">
      <w:pPr>
        <w:tabs>
          <w:tab w:val="left" w:pos="2410"/>
        </w:tabs>
        <w:spacing w:line="298" w:lineRule="auto"/>
        <w:ind w:left="2410"/>
        <w:rPr>
          <w:rFonts w:hint="eastAsia" w:ascii="宋体" w:hAnsi="宋体" w:cs="宋体"/>
          <w:sz w:val="24"/>
        </w:rPr>
      </w:pPr>
    </w:p>
    <w:sectPr>
      <w:headerReference r:id="rId3" w:type="default"/>
      <w:footerReference r:id="rId4" w:type="default"/>
      <w:footerReference r:id="rId5" w:type="even"/>
      <w:pgSz w:w="11906" w:h="16838"/>
      <w:pgMar w:top="1985"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271C5">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13DEFAA0">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993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CC97E7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26FB">
    <w:pPr>
      <w:pStyle w:val="5"/>
      <w:tabs>
        <w:tab w:val="center" w:pos="4536"/>
        <w:tab w:val="clear" w:pos="4153"/>
      </w:tabs>
      <w:jc w:val="left"/>
    </w:pPr>
    <w:r>
      <w:drawing>
        <wp:inline distT="0" distB="0" distL="0" distR="0">
          <wp:extent cx="381000" cy="4038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403860"/>
                  </a:xfrm>
                  <a:prstGeom prst="rect">
                    <a:avLst/>
                  </a:prstGeom>
                  <a:noFill/>
                  <a:ln>
                    <a:noFill/>
                  </a:ln>
                </pic:spPr>
              </pic:pic>
            </a:graphicData>
          </a:graphic>
        </wp:inline>
      </w:drawing>
    </w:r>
    <w:r>
      <w:rPr>
        <w:rFonts w:hint="eastAsia"/>
      </w:rPr>
      <w:tab/>
    </w:r>
    <w:r>
      <w:rPr>
        <w:rFonts w:hint="eastAsia"/>
      </w:rPr>
      <w:t>永兴特种材料科技股份有限公司对外捐赠管理办法</w:t>
    </w:r>
  </w:p>
  <w:p w14:paraId="4C6D6BDB">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B0E96"/>
    <w:multiLevelType w:val="multilevel"/>
    <w:tmpl w:val="29CB0E96"/>
    <w:lvl w:ilvl="0" w:tentative="0">
      <w:start w:val="1"/>
      <w:numFmt w:val="chineseCountingThousand"/>
      <w:lvlText w:val="第%1条"/>
      <w:lvlJc w:val="left"/>
      <w:pPr>
        <w:tabs>
          <w:tab w:val="left" w:pos="816"/>
        </w:tabs>
        <w:ind w:left="816" w:hanging="396"/>
      </w:pPr>
      <w:rPr>
        <w:rFonts w:hint="default" w:ascii="Arial" w:hAnsi="Arial" w:eastAsia="宋体"/>
        <w:b w:val="0"/>
        <w:i w:val="0"/>
        <w:sz w:val="23"/>
        <w:szCs w:val="23"/>
      </w:rPr>
    </w:lvl>
    <w:lvl w:ilvl="1" w:tentative="0">
      <w:start w:val="1"/>
      <w:numFmt w:val="chineseCountingThousand"/>
      <w:lvlText w:val="第%2条"/>
      <w:lvlJc w:val="left"/>
      <w:pPr>
        <w:tabs>
          <w:tab w:val="left" w:pos="816"/>
        </w:tabs>
        <w:ind w:left="816" w:hanging="396"/>
      </w:pPr>
      <w:rPr>
        <w:rFonts w:hint="default" w:ascii="Arial" w:hAnsi="Arial" w:eastAsia="宋体"/>
        <w:b w:val="0"/>
        <w:i w:val="0"/>
        <w:sz w:val="24"/>
        <w:szCs w:val="24"/>
      </w:rPr>
    </w:lvl>
    <w:lvl w:ilvl="2" w:tentative="0">
      <w:start w:val="1"/>
      <w:numFmt w:val="chineseCountingThousand"/>
      <w:lvlText w:val="(%3)"/>
      <w:lvlJc w:val="left"/>
      <w:pPr>
        <w:tabs>
          <w:tab w:val="left" w:pos="1200"/>
        </w:tabs>
        <w:ind w:left="1200" w:hanging="360"/>
      </w:pPr>
      <w:rPr>
        <w:rFonts w:hint="default" w:ascii="Arial" w:hAnsi="Arial" w:eastAsia="宋体"/>
        <w:b w:val="0"/>
        <w:i w:val="0"/>
        <w:sz w:val="23"/>
        <w:szCs w:val="23"/>
      </w:rPr>
    </w:lvl>
    <w:lvl w:ilvl="3" w:tentative="0">
      <w:start w:val="1"/>
      <w:numFmt w:val="japaneseCounting"/>
      <w:lvlText w:val="（%4）"/>
      <w:lvlJc w:val="left"/>
      <w:pPr>
        <w:tabs>
          <w:tab w:val="left" w:pos="1980"/>
        </w:tabs>
        <w:ind w:left="1980" w:hanging="720"/>
      </w:pPr>
      <w:rPr>
        <w:rFonts w:ascii="宋体" w:hAnsi="宋体" w:eastAsia="宋体" w:cs="Arial"/>
      </w:rPr>
    </w:lvl>
    <w:lvl w:ilvl="4" w:tentative="0">
      <w:start w:val="1"/>
      <w:numFmt w:val="japaneseCounting"/>
      <w:lvlText w:val="(%5)"/>
      <w:lvlJc w:val="left"/>
      <w:pPr>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070076"/>
    <w:multiLevelType w:val="multilevel"/>
    <w:tmpl w:val="44070076"/>
    <w:lvl w:ilvl="0" w:tentative="0">
      <w:start w:val="1"/>
      <w:numFmt w:val="japaneseCounting"/>
      <w:lvlText w:val="第%1章"/>
      <w:lvlJc w:val="left"/>
      <w:pPr>
        <w:tabs>
          <w:tab w:val="left" w:pos="4260"/>
        </w:tabs>
        <w:ind w:left="4260" w:hanging="825"/>
      </w:pPr>
      <w:rPr>
        <w:rFonts w:hint="eastAsia" w:ascii="宋体" w:hAnsi="宋体" w:eastAsia="宋体" w:cs="宋体"/>
        <w:b/>
      </w:rPr>
    </w:lvl>
    <w:lvl w:ilvl="1" w:tentative="0">
      <w:start w:val="1"/>
      <w:numFmt w:val="japaneseCounting"/>
      <w:lvlText w:val="第%2条"/>
      <w:lvlJc w:val="left"/>
      <w:pPr>
        <w:tabs>
          <w:tab w:val="left" w:pos="4575"/>
        </w:tabs>
        <w:ind w:left="4575" w:hanging="720"/>
      </w:pPr>
      <w:rPr>
        <w:rFonts w:hint="default"/>
      </w:rPr>
    </w:lvl>
    <w:lvl w:ilvl="2" w:tentative="0">
      <w:start w:val="1"/>
      <w:numFmt w:val="lowerRoman"/>
      <w:lvlText w:val="%3."/>
      <w:lvlJc w:val="right"/>
      <w:pPr>
        <w:tabs>
          <w:tab w:val="left" w:pos="4695"/>
        </w:tabs>
        <w:ind w:left="4695" w:hanging="420"/>
      </w:pPr>
    </w:lvl>
    <w:lvl w:ilvl="3" w:tentative="0">
      <w:start w:val="1"/>
      <w:numFmt w:val="decimal"/>
      <w:lvlText w:val="%4."/>
      <w:lvlJc w:val="left"/>
      <w:pPr>
        <w:tabs>
          <w:tab w:val="left" w:pos="5115"/>
        </w:tabs>
        <w:ind w:left="5115" w:hanging="420"/>
      </w:pPr>
    </w:lvl>
    <w:lvl w:ilvl="4" w:tentative="0">
      <w:start w:val="1"/>
      <w:numFmt w:val="lowerLetter"/>
      <w:lvlText w:val="%5)"/>
      <w:lvlJc w:val="left"/>
      <w:pPr>
        <w:tabs>
          <w:tab w:val="left" w:pos="5535"/>
        </w:tabs>
        <w:ind w:left="5535" w:hanging="420"/>
      </w:pPr>
    </w:lvl>
    <w:lvl w:ilvl="5" w:tentative="0">
      <w:start w:val="1"/>
      <w:numFmt w:val="lowerRoman"/>
      <w:lvlText w:val="%6."/>
      <w:lvlJc w:val="right"/>
      <w:pPr>
        <w:tabs>
          <w:tab w:val="left" w:pos="5955"/>
        </w:tabs>
        <w:ind w:left="5955" w:hanging="420"/>
      </w:pPr>
    </w:lvl>
    <w:lvl w:ilvl="6" w:tentative="0">
      <w:start w:val="1"/>
      <w:numFmt w:val="decimal"/>
      <w:lvlText w:val="%7."/>
      <w:lvlJc w:val="left"/>
      <w:pPr>
        <w:tabs>
          <w:tab w:val="left" w:pos="6375"/>
        </w:tabs>
        <w:ind w:left="6375" w:hanging="420"/>
      </w:pPr>
    </w:lvl>
    <w:lvl w:ilvl="7" w:tentative="0">
      <w:start w:val="1"/>
      <w:numFmt w:val="lowerLetter"/>
      <w:lvlText w:val="%8)"/>
      <w:lvlJc w:val="left"/>
      <w:pPr>
        <w:tabs>
          <w:tab w:val="left" w:pos="6795"/>
        </w:tabs>
        <w:ind w:left="6795" w:hanging="420"/>
      </w:pPr>
    </w:lvl>
    <w:lvl w:ilvl="8" w:tentative="0">
      <w:start w:val="1"/>
      <w:numFmt w:val="lowerRoman"/>
      <w:lvlText w:val="%9."/>
      <w:lvlJc w:val="right"/>
      <w:pPr>
        <w:tabs>
          <w:tab w:val="left" w:pos="7215"/>
        </w:tabs>
        <w:ind w:left="7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F1"/>
    <w:rsid w:val="00000E84"/>
    <w:rsid w:val="0000138F"/>
    <w:rsid w:val="0000184D"/>
    <w:rsid w:val="0001227D"/>
    <w:rsid w:val="000222D2"/>
    <w:rsid w:val="00024814"/>
    <w:rsid w:val="00032C35"/>
    <w:rsid w:val="00044712"/>
    <w:rsid w:val="00050444"/>
    <w:rsid w:val="00065774"/>
    <w:rsid w:val="00066EFB"/>
    <w:rsid w:val="0008424D"/>
    <w:rsid w:val="000B1287"/>
    <w:rsid w:val="000B4C33"/>
    <w:rsid w:val="000B4FA1"/>
    <w:rsid w:val="000B56C9"/>
    <w:rsid w:val="000C3187"/>
    <w:rsid w:val="000C4609"/>
    <w:rsid w:val="000D1E2C"/>
    <w:rsid w:val="000D587B"/>
    <w:rsid w:val="000D6799"/>
    <w:rsid w:val="000E0CCA"/>
    <w:rsid w:val="000E71C4"/>
    <w:rsid w:val="000F2E93"/>
    <w:rsid w:val="000F2FD5"/>
    <w:rsid w:val="00107AAC"/>
    <w:rsid w:val="0011763D"/>
    <w:rsid w:val="00133778"/>
    <w:rsid w:val="00135A34"/>
    <w:rsid w:val="00146A2E"/>
    <w:rsid w:val="00147737"/>
    <w:rsid w:val="00151D09"/>
    <w:rsid w:val="00157EAE"/>
    <w:rsid w:val="00177E76"/>
    <w:rsid w:val="001928BD"/>
    <w:rsid w:val="00192E70"/>
    <w:rsid w:val="001A036A"/>
    <w:rsid w:val="001A19F9"/>
    <w:rsid w:val="001B57D8"/>
    <w:rsid w:val="001C6147"/>
    <w:rsid w:val="001D10A5"/>
    <w:rsid w:val="001D621F"/>
    <w:rsid w:val="001D6C3A"/>
    <w:rsid w:val="001E104D"/>
    <w:rsid w:val="001F7875"/>
    <w:rsid w:val="00202C38"/>
    <w:rsid w:val="002049BD"/>
    <w:rsid w:val="00207CD0"/>
    <w:rsid w:val="0021098B"/>
    <w:rsid w:val="00214182"/>
    <w:rsid w:val="0021585F"/>
    <w:rsid w:val="002276DF"/>
    <w:rsid w:val="00232F62"/>
    <w:rsid w:val="00235C9C"/>
    <w:rsid w:val="0025524A"/>
    <w:rsid w:val="00275452"/>
    <w:rsid w:val="00280053"/>
    <w:rsid w:val="00285413"/>
    <w:rsid w:val="002A567F"/>
    <w:rsid w:val="002A6027"/>
    <w:rsid w:val="002B5182"/>
    <w:rsid w:val="002B6075"/>
    <w:rsid w:val="002C04DF"/>
    <w:rsid w:val="002C78B9"/>
    <w:rsid w:val="002D2FD6"/>
    <w:rsid w:val="002D463E"/>
    <w:rsid w:val="002D6C87"/>
    <w:rsid w:val="00306975"/>
    <w:rsid w:val="003072D1"/>
    <w:rsid w:val="00311FC3"/>
    <w:rsid w:val="00316227"/>
    <w:rsid w:val="00330108"/>
    <w:rsid w:val="003337CE"/>
    <w:rsid w:val="003453C6"/>
    <w:rsid w:val="0035716F"/>
    <w:rsid w:val="00357EA7"/>
    <w:rsid w:val="00385F69"/>
    <w:rsid w:val="00387A50"/>
    <w:rsid w:val="003A456A"/>
    <w:rsid w:val="003A6AD8"/>
    <w:rsid w:val="003B2E38"/>
    <w:rsid w:val="003C7006"/>
    <w:rsid w:val="003C7559"/>
    <w:rsid w:val="003C7EE9"/>
    <w:rsid w:val="003D41F9"/>
    <w:rsid w:val="003F2BDB"/>
    <w:rsid w:val="003F477A"/>
    <w:rsid w:val="003F4C60"/>
    <w:rsid w:val="004004F8"/>
    <w:rsid w:val="00400F5B"/>
    <w:rsid w:val="004042ED"/>
    <w:rsid w:val="00405E89"/>
    <w:rsid w:val="00406B90"/>
    <w:rsid w:val="0041099F"/>
    <w:rsid w:val="00420F06"/>
    <w:rsid w:val="004220AB"/>
    <w:rsid w:val="004335D7"/>
    <w:rsid w:val="00435115"/>
    <w:rsid w:val="00441912"/>
    <w:rsid w:val="00464694"/>
    <w:rsid w:val="00464BF5"/>
    <w:rsid w:val="00480C62"/>
    <w:rsid w:val="00483F82"/>
    <w:rsid w:val="0048545D"/>
    <w:rsid w:val="00493183"/>
    <w:rsid w:val="004B2582"/>
    <w:rsid w:val="004B2C1E"/>
    <w:rsid w:val="004B7CC2"/>
    <w:rsid w:val="004C5D36"/>
    <w:rsid w:val="004C7FB1"/>
    <w:rsid w:val="004D2FDF"/>
    <w:rsid w:val="004E12DE"/>
    <w:rsid w:val="004E1703"/>
    <w:rsid w:val="004F68AA"/>
    <w:rsid w:val="00510867"/>
    <w:rsid w:val="005148E6"/>
    <w:rsid w:val="00526264"/>
    <w:rsid w:val="00537850"/>
    <w:rsid w:val="00541947"/>
    <w:rsid w:val="005428A5"/>
    <w:rsid w:val="00563486"/>
    <w:rsid w:val="005676D4"/>
    <w:rsid w:val="00567DFB"/>
    <w:rsid w:val="00575DD1"/>
    <w:rsid w:val="005816F1"/>
    <w:rsid w:val="005839E5"/>
    <w:rsid w:val="005A0036"/>
    <w:rsid w:val="005A26D3"/>
    <w:rsid w:val="005B0A92"/>
    <w:rsid w:val="005B2F01"/>
    <w:rsid w:val="005C0553"/>
    <w:rsid w:val="005C3D69"/>
    <w:rsid w:val="005D02A9"/>
    <w:rsid w:val="005E4A51"/>
    <w:rsid w:val="005E5D36"/>
    <w:rsid w:val="005F0345"/>
    <w:rsid w:val="005F1284"/>
    <w:rsid w:val="005F38A1"/>
    <w:rsid w:val="00600193"/>
    <w:rsid w:val="006062C1"/>
    <w:rsid w:val="00610943"/>
    <w:rsid w:val="00623C89"/>
    <w:rsid w:val="00624E91"/>
    <w:rsid w:val="006255B5"/>
    <w:rsid w:val="006256A2"/>
    <w:rsid w:val="00630C3D"/>
    <w:rsid w:val="0063307D"/>
    <w:rsid w:val="00635096"/>
    <w:rsid w:val="00641428"/>
    <w:rsid w:val="006509F6"/>
    <w:rsid w:val="00651951"/>
    <w:rsid w:val="00672DB4"/>
    <w:rsid w:val="0067470E"/>
    <w:rsid w:val="0067717B"/>
    <w:rsid w:val="006B72E5"/>
    <w:rsid w:val="006C0048"/>
    <w:rsid w:val="006C22F3"/>
    <w:rsid w:val="006C524F"/>
    <w:rsid w:val="006C7BCD"/>
    <w:rsid w:val="006C7BF6"/>
    <w:rsid w:val="006D0AAB"/>
    <w:rsid w:val="006E03D5"/>
    <w:rsid w:val="006E224A"/>
    <w:rsid w:val="00700FA2"/>
    <w:rsid w:val="00715F0F"/>
    <w:rsid w:val="0072634E"/>
    <w:rsid w:val="00732191"/>
    <w:rsid w:val="0074429D"/>
    <w:rsid w:val="0075525B"/>
    <w:rsid w:val="007555EB"/>
    <w:rsid w:val="0075603C"/>
    <w:rsid w:val="00762AA5"/>
    <w:rsid w:val="0076387A"/>
    <w:rsid w:val="00765DF4"/>
    <w:rsid w:val="007670B1"/>
    <w:rsid w:val="0078579B"/>
    <w:rsid w:val="00793ADB"/>
    <w:rsid w:val="00794E4B"/>
    <w:rsid w:val="00795A85"/>
    <w:rsid w:val="007A3642"/>
    <w:rsid w:val="007A7D45"/>
    <w:rsid w:val="007B1634"/>
    <w:rsid w:val="007B24F0"/>
    <w:rsid w:val="007C1530"/>
    <w:rsid w:val="007C739C"/>
    <w:rsid w:val="007E4509"/>
    <w:rsid w:val="007E4B47"/>
    <w:rsid w:val="007F3562"/>
    <w:rsid w:val="007F5A0F"/>
    <w:rsid w:val="00800443"/>
    <w:rsid w:val="00806DFC"/>
    <w:rsid w:val="0081752D"/>
    <w:rsid w:val="00822749"/>
    <w:rsid w:val="008254C1"/>
    <w:rsid w:val="008336F9"/>
    <w:rsid w:val="00833BF2"/>
    <w:rsid w:val="00845D60"/>
    <w:rsid w:val="008536A0"/>
    <w:rsid w:val="00862531"/>
    <w:rsid w:val="008640A0"/>
    <w:rsid w:val="00867B6C"/>
    <w:rsid w:val="00870FEA"/>
    <w:rsid w:val="00880E5B"/>
    <w:rsid w:val="00881F7C"/>
    <w:rsid w:val="00883E62"/>
    <w:rsid w:val="008850C7"/>
    <w:rsid w:val="008A1F59"/>
    <w:rsid w:val="008A342B"/>
    <w:rsid w:val="008B15C1"/>
    <w:rsid w:val="008B69F6"/>
    <w:rsid w:val="008D00E3"/>
    <w:rsid w:val="008D65D1"/>
    <w:rsid w:val="008E5C59"/>
    <w:rsid w:val="009011A6"/>
    <w:rsid w:val="00901C68"/>
    <w:rsid w:val="00903950"/>
    <w:rsid w:val="00912D55"/>
    <w:rsid w:val="00912E09"/>
    <w:rsid w:val="00913199"/>
    <w:rsid w:val="0092303E"/>
    <w:rsid w:val="00930D3B"/>
    <w:rsid w:val="0093153D"/>
    <w:rsid w:val="00932D98"/>
    <w:rsid w:val="00936A1D"/>
    <w:rsid w:val="00943F43"/>
    <w:rsid w:val="00952A95"/>
    <w:rsid w:val="00960561"/>
    <w:rsid w:val="00962720"/>
    <w:rsid w:val="009721F3"/>
    <w:rsid w:val="00983BA3"/>
    <w:rsid w:val="00985803"/>
    <w:rsid w:val="00987981"/>
    <w:rsid w:val="0099177E"/>
    <w:rsid w:val="00993AF1"/>
    <w:rsid w:val="009A57C8"/>
    <w:rsid w:val="009B1223"/>
    <w:rsid w:val="009B3F5F"/>
    <w:rsid w:val="009C68CA"/>
    <w:rsid w:val="009D1530"/>
    <w:rsid w:val="009D776C"/>
    <w:rsid w:val="009F3ADF"/>
    <w:rsid w:val="00A049D9"/>
    <w:rsid w:val="00A149EB"/>
    <w:rsid w:val="00A166B6"/>
    <w:rsid w:val="00A201BD"/>
    <w:rsid w:val="00A31FC6"/>
    <w:rsid w:val="00A379E9"/>
    <w:rsid w:val="00A41AB9"/>
    <w:rsid w:val="00A44472"/>
    <w:rsid w:val="00A56CEA"/>
    <w:rsid w:val="00A61C71"/>
    <w:rsid w:val="00A6546D"/>
    <w:rsid w:val="00A825AA"/>
    <w:rsid w:val="00A82896"/>
    <w:rsid w:val="00A9076F"/>
    <w:rsid w:val="00A958B6"/>
    <w:rsid w:val="00AA2AA6"/>
    <w:rsid w:val="00AB1B2E"/>
    <w:rsid w:val="00AB3891"/>
    <w:rsid w:val="00AC0769"/>
    <w:rsid w:val="00AC721B"/>
    <w:rsid w:val="00AC7CC7"/>
    <w:rsid w:val="00AD22A0"/>
    <w:rsid w:val="00AD2601"/>
    <w:rsid w:val="00AD75B4"/>
    <w:rsid w:val="00AE47E4"/>
    <w:rsid w:val="00AE5EC7"/>
    <w:rsid w:val="00AF2544"/>
    <w:rsid w:val="00AF35D4"/>
    <w:rsid w:val="00B009E9"/>
    <w:rsid w:val="00B00DE7"/>
    <w:rsid w:val="00B03F86"/>
    <w:rsid w:val="00B06F55"/>
    <w:rsid w:val="00B13566"/>
    <w:rsid w:val="00B35EF9"/>
    <w:rsid w:val="00B420F0"/>
    <w:rsid w:val="00B53D12"/>
    <w:rsid w:val="00B57910"/>
    <w:rsid w:val="00B61833"/>
    <w:rsid w:val="00B7146A"/>
    <w:rsid w:val="00B75C21"/>
    <w:rsid w:val="00BA050B"/>
    <w:rsid w:val="00BA3393"/>
    <w:rsid w:val="00BB6C97"/>
    <w:rsid w:val="00BC6034"/>
    <w:rsid w:val="00BD14FF"/>
    <w:rsid w:val="00BD44BA"/>
    <w:rsid w:val="00BE0386"/>
    <w:rsid w:val="00BE1795"/>
    <w:rsid w:val="00BE5C2F"/>
    <w:rsid w:val="00BF3146"/>
    <w:rsid w:val="00BF6B63"/>
    <w:rsid w:val="00C04533"/>
    <w:rsid w:val="00C07183"/>
    <w:rsid w:val="00C14C29"/>
    <w:rsid w:val="00C21508"/>
    <w:rsid w:val="00C21FC9"/>
    <w:rsid w:val="00C24CEE"/>
    <w:rsid w:val="00C27DA1"/>
    <w:rsid w:val="00C307D2"/>
    <w:rsid w:val="00C351EE"/>
    <w:rsid w:val="00C36A0F"/>
    <w:rsid w:val="00C45DB9"/>
    <w:rsid w:val="00C61865"/>
    <w:rsid w:val="00C7114B"/>
    <w:rsid w:val="00C73507"/>
    <w:rsid w:val="00C775BC"/>
    <w:rsid w:val="00C90BD2"/>
    <w:rsid w:val="00CA2A9B"/>
    <w:rsid w:val="00CA2EE0"/>
    <w:rsid w:val="00CA3B9C"/>
    <w:rsid w:val="00CB6A96"/>
    <w:rsid w:val="00CC58A2"/>
    <w:rsid w:val="00CD0890"/>
    <w:rsid w:val="00CD49C5"/>
    <w:rsid w:val="00CD6DE3"/>
    <w:rsid w:val="00CE017E"/>
    <w:rsid w:val="00CE04D5"/>
    <w:rsid w:val="00D01907"/>
    <w:rsid w:val="00D05617"/>
    <w:rsid w:val="00D06907"/>
    <w:rsid w:val="00D30385"/>
    <w:rsid w:val="00D33133"/>
    <w:rsid w:val="00D347F1"/>
    <w:rsid w:val="00D34A36"/>
    <w:rsid w:val="00D35DCB"/>
    <w:rsid w:val="00D44F3D"/>
    <w:rsid w:val="00D4598B"/>
    <w:rsid w:val="00D513A5"/>
    <w:rsid w:val="00D52A54"/>
    <w:rsid w:val="00D6040F"/>
    <w:rsid w:val="00D75AA8"/>
    <w:rsid w:val="00D77AC1"/>
    <w:rsid w:val="00D85FE9"/>
    <w:rsid w:val="00D877E8"/>
    <w:rsid w:val="00D91606"/>
    <w:rsid w:val="00DA02E4"/>
    <w:rsid w:val="00DA195A"/>
    <w:rsid w:val="00DA6191"/>
    <w:rsid w:val="00DC051F"/>
    <w:rsid w:val="00DC1A7F"/>
    <w:rsid w:val="00DE63C0"/>
    <w:rsid w:val="00DF4439"/>
    <w:rsid w:val="00E00B80"/>
    <w:rsid w:val="00E01420"/>
    <w:rsid w:val="00E0209E"/>
    <w:rsid w:val="00E045D4"/>
    <w:rsid w:val="00E05823"/>
    <w:rsid w:val="00E1186B"/>
    <w:rsid w:val="00E14B6A"/>
    <w:rsid w:val="00E17817"/>
    <w:rsid w:val="00E245CF"/>
    <w:rsid w:val="00E261BA"/>
    <w:rsid w:val="00E263D0"/>
    <w:rsid w:val="00E319CD"/>
    <w:rsid w:val="00E341DD"/>
    <w:rsid w:val="00E42EFB"/>
    <w:rsid w:val="00E47853"/>
    <w:rsid w:val="00E506FC"/>
    <w:rsid w:val="00E579DD"/>
    <w:rsid w:val="00E63A5E"/>
    <w:rsid w:val="00E6544B"/>
    <w:rsid w:val="00E84210"/>
    <w:rsid w:val="00E84DF9"/>
    <w:rsid w:val="00E91A9C"/>
    <w:rsid w:val="00EA4A69"/>
    <w:rsid w:val="00EB08C7"/>
    <w:rsid w:val="00EB2011"/>
    <w:rsid w:val="00EC1E4E"/>
    <w:rsid w:val="00EC42E5"/>
    <w:rsid w:val="00ED6CD5"/>
    <w:rsid w:val="00EF1A1C"/>
    <w:rsid w:val="00EF2956"/>
    <w:rsid w:val="00EF7282"/>
    <w:rsid w:val="00F01F0B"/>
    <w:rsid w:val="00F022B8"/>
    <w:rsid w:val="00F03C52"/>
    <w:rsid w:val="00F10166"/>
    <w:rsid w:val="00F10476"/>
    <w:rsid w:val="00F11E88"/>
    <w:rsid w:val="00F14561"/>
    <w:rsid w:val="00F373F5"/>
    <w:rsid w:val="00F41B5D"/>
    <w:rsid w:val="00F41BFE"/>
    <w:rsid w:val="00F45A0D"/>
    <w:rsid w:val="00F46573"/>
    <w:rsid w:val="00F520C2"/>
    <w:rsid w:val="00F5482E"/>
    <w:rsid w:val="00F54AAE"/>
    <w:rsid w:val="00F56E84"/>
    <w:rsid w:val="00F603C0"/>
    <w:rsid w:val="00F612C1"/>
    <w:rsid w:val="00F61521"/>
    <w:rsid w:val="00F70BF5"/>
    <w:rsid w:val="00F72CC1"/>
    <w:rsid w:val="00F7653D"/>
    <w:rsid w:val="00F85EE7"/>
    <w:rsid w:val="00FA46BA"/>
    <w:rsid w:val="00FB3A3F"/>
    <w:rsid w:val="00FC2B24"/>
    <w:rsid w:val="00FE6569"/>
    <w:rsid w:val="00FF1A32"/>
    <w:rsid w:val="00FF4C9E"/>
    <w:rsid w:val="00FF7781"/>
    <w:rsid w:val="5B6346C4"/>
    <w:rsid w:val="64D24292"/>
    <w:rsid w:val="6F66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annotation reference"/>
    <w:qFormat/>
    <w:uiPriority w:val="0"/>
    <w:rPr>
      <w:sz w:val="21"/>
      <w:szCs w:val="21"/>
    </w:rPr>
  </w:style>
  <w:style w:type="paragraph" w:customStyle="1" w:styleId="12">
    <w:name w:val="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 w:type="paragraph" w:customStyle="1" w:styleId="13">
    <w:name w:val="Char"/>
    <w:basedOn w:val="1"/>
    <w:qFormat/>
    <w:uiPriority w:val="0"/>
    <w:pPr>
      <w:widowControl/>
      <w:spacing w:after="160" w:line="240" w:lineRule="exact"/>
      <w:jc w:val="left"/>
    </w:pPr>
    <w:rPr>
      <w:kern w:val="0"/>
      <w:sz w:val="20"/>
      <w:szCs w:val="20"/>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CM1"/>
    <w:basedOn w:val="14"/>
    <w:next w:val="14"/>
    <w:qFormat/>
    <w:uiPriority w:val="0"/>
    <w:pPr>
      <w:spacing w:line="468" w:lineRule="atLeast"/>
    </w:pPr>
    <w:rPr>
      <w:color w:val="auto"/>
    </w:rPr>
  </w:style>
  <w:style w:type="character" w:customStyle="1" w:styleId="16">
    <w:name w:val="页眉 字符"/>
    <w:link w:val="5"/>
    <w:qFormat/>
    <w:uiPriority w:val="0"/>
    <w:rPr>
      <w:rFonts w:eastAsia="宋体"/>
      <w:kern w:val="2"/>
      <w:sz w:val="18"/>
      <w:szCs w:val="18"/>
      <w:lang w:val="en-US" w:eastAsia="zh-CN" w:bidi="ar-SA"/>
    </w:rPr>
  </w:style>
  <w:style w:type="paragraph" w:customStyle="1" w:styleId="17">
    <w:name w:val="列表段落1"/>
    <w:basedOn w:val="1"/>
    <w:qFormat/>
    <w:uiPriority w:val="34"/>
    <w:pPr>
      <w:ind w:firstLine="420" w:firstLineChars="200"/>
    </w:pPr>
  </w:style>
  <w:style w:type="character" w:customStyle="1" w:styleId="18">
    <w:name w:val="批注文字 字符"/>
    <w:link w:val="2"/>
    <w:qFormat/>
    <w:uiPriority w:val="0"/>
    <w:rPr>
      <w:kern w:val="2"/>
      <w:sz w:val="21"/>
      <w:szCs w:val="24"/>
    </w:rPr>
  </w:style>
  <w:style w:type="character" w:customStyle="1" w:styleId="19">
    <w:name w:val="批注主题 字符"/>
    <w:link w:val="6"/>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2087</Words>
  <Characters>2098</Characters>
  <Lines>15</Lines>
  <Paragraphs>4</Paragraphs>
  <TotalTime>7</TotalTime>
  <ScaleCrop>false</ScaleCrop>
  <LinksUpToDate>false</LinksUpToDate>
  <CharactersWithSpaces>2103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2023-08-28T05:17:00Z</dcterms:created>
  <dc:creator>Llinks</dc:creator>
  <cp:lastModifiedBy>lln</cp:lastModifiedBy>
  <cp:lastPrinted>2016-12-05T08:33:00Z</cp:lastPrinted>
  <dcterms:modified xsi:type="dcterms:W3CDTF">2025-08-20T00:14:29Z</dcterms:modified>
  <dc:title>议案十四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AF72D1AADE4348B1ABB23015E8ABCDA5_12</vt:lpwstr>
  </property>
</Properties>
</file>