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A13F0">
      <w:pPr>
        <w:jc w:val="center"/>
        <w:rPr>
          <w:rFonts w:hint="eastAsia" w:ascii="Arial" w:hAnsi="Arial" w:eastAsia="黑体" w:cs="Arial"/>
          <w:b/>
          <w:sz w:val="32"/>
          <w:szCs w:val="32"/>
        </w:rPr>
      </w:pPr>
    </w:p>
    <w:p w14:paraId="32B4E012">
      <w:pPr>
        <w:jc w:val="center"/>
        <w:rPr>
          <w:rFonts w:ascii="宋体" w:hAnsi="宋体" w:cs="Arial"/>
          <w:b/>
          <w:sz w:val="32"/>
          <w:szCs w:val="32"/>
        </w:rPr>
      </w:pPr>
      <w:bookmarkStart w:id="0" w:name="_GoBack"/>
      <w:bookmarkEnd w:id="0"/>
      <w:r>
        <w:rPr>
          <w:rFonts w:ascii="宋体" w:hAnsi="宋体" w:cs="Arial"/>
          <w:b/>
          <w:sz w:val="32"/>
          <w:szCs w:val="32"/>
        </w:rPr>
        <w:t>永兴特种</w:t>
      </w:r>
      <w:r>
        <w:rPr>
          <w:rFonts w:hint="eastAsia" w:ascii="宋体" w:hAnsi="宋体" w:cs="Arial"/>
          <w:b/>
          <w:sz w:val="32"/>
          <w:szCs w:val="32"/>
        </w:rPr>
        <w:t>材料科技</w:t>
      </w:r>
      <w:r>
        <w:rPr>
          <w:rFonts w:ascii="宋体" w:hAnsi="宋体" w:cs="Arial"/>
          <w:b/>
          <w:sz w:val="32"/>
          <w:szCs w:val="32"/>
        </w:rPr>
        <w:t>股份有限公司</w:t>
      </w:r>
    </w:p>
    <w:p w14:paraId="51FCCA2E">
      <w:pPr>
        <w:jc w:val="center"/>
        <w:rPr>
          <w:rFonts w:hint="eastAsia" w:ascii="宋体" w:hAnsi="宋体" w:eastAsia="宋体" w:cs="Arial"/>
          <w:b/>
          <w:sz w:val="32"/>
          <w:szCs w:val="32"/>
          <w:lang w:eastAsia="zh-CN"/>
        </w:rPr>
      </w:pPr>
      <w:r>
        <w:rPr>
          <w:rFonts w:ascii="宋体" w:hAnsi="宋体" w:cs="Arial"/>
          <w:b/>
          <w:sz w:val="32"/>
          <w:szCs w:val="32"/>
        </w:rPr>
        <w:t>提名委员会工作细则</w:t>
      </w:r>
    </w:p>
    <w:p w14:paraId="2410A3B0">
      <w:pPr>
        <w:jc w:val="center"/>
        <w:rPr>
          <w:rFonts w:ascii="Arial" w:hAnsi="Arial" w:eastAsia="黑体" w:cs="Arial"/>
          <w:b/>
          <w:sz w:val="32"/>
          <w:szCs w:val="32"/>
        </w:rPr>
      </w:pPr>
    </w:p>
    <w:p w14:paraId="68C17A81">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第一章 总则</w:t>
      </w:r>
    </w:p>
    <w:p w14:paraId="46823154">
      <w:pPr>
        <w:autoSpaceDE w:val="0"/>
        <w:autoSpaceDN w:val="0"/>
        <w:adjustRightInd w:val="0"/>
        <w:spacing w:line="324" w:lineRule="auto"/>
        <w:rPr>
          <w:rFonts w:ascii="宋体" w:hAnsi="宋体" w:cs="Arial"/>
          <w:b/>
          <w:kern w:val="0"/>
          <w:sz w:val="24"/>
        </w:rPr>
      </w:pPr>
    </w:p>
    <w:p w14:paraId="423D60A2">
      <w:pPr>
        <w:numPr>
          <w:ilvl w:val="0"/>
          <w:numId w:val="1"/>
        </w:numPr>
        <w:tabs>
          <w:tab w:val="left" w:pos="1484"/>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为完善永兴特种</w:t>
      </w:r>
      <w:r>
        <w:rPr>
          <w:rFonts w:hint="eastAsia" w:ascii="宋体" w:hAnsi="宋体" w:cs="Arial"/>
          <w:kern w:val="0"/>
          <w:sz w:val="24"/>
        </w:rPr>
        <w:t>材料科技</w:t>
      </w:r>
      <w:r>
        <w:rPr>
          <w:rFonts w:ascii="宋体" w:hAnsi="宋体" w:cs="Arial"/>
          <w:kern w:val="0"/>
          <w:sz w:val="24"/>
        </w:rPr>
        <w:t>股份有限公司(以下简称“公司”)的法人治理结构, 增强董事会选举程序的科学性、民主性, 优化董事会的组成人员结构, 公司特设立董事会提名委员会。</w:t>
      </w:r>
    </w:p>
    <w:p w14:paraId="1F3CCCDF">
      <w:pPr>
        <w:autoSpaceDE w:val="0"/>
        <w:autoSpaceDN w:val="0"/>
        <w:adjustRightInd w:val="0"/>
        <w:spacing w:line="324" w:lineRule="auto"/>
        <w:rPr>
          <w:rFonts w:ascii="宋体" w:hAnsi="宋体" w:cs="Arial"/>
          <w:kern w:val="0"/>
          <w:sz w:val="24"/>
        </w:rPr>
      </w:pPr>
    </w:p>
    <w:p w14:paraId="04CA8E57">
      <w:pPr>
        <w:numPr>
          <w:ilvl w:val="0"/>
          <w:numId w:val="1"/>
        </w:numPr>
        <w:tabs>
          <w:tab w:val="left" w:pos="1418"/>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为使提名委员会规范、高效地开展工作, 公司董事会根据《中华人民共和国公司法》(以下简称“《公司法》”)、《上市公司治理准则》等有关法律、法规及《永兴特种</w:t>
      </w:r>
      <w:r>
        <w:rPr>
          <w:rFonts w:hint="eastAsia" w:ascii="宋体" w:hAnsi="宋体" w:cs="Arial"/>
          <w:kern w:val="0"/>
          <w:sz w:val="24"/>
        </w:rPr>
        <w:t>材料科技</w:t>
      </w:r>
      <w:r>
        <w:rPr>
          <w:rFonts w:ascii="宋体" w:hAnsi="宋体" w:cs="Arial"/>
          <w:kern w:val="0"/>
          <w:sz w:val="24"/>
        </w:rPr>
        <w:t>股份有限公司章程》(以下简称“《公司章程》”)的有关规定, 制订本工作细则。</w:t>
      </w:r>
    </w:p>
    <w:p w14:paraId="1A4ED39C">
      <w:pPr>
        <w:autoSpaceDE w:val="0"/>
        <w:autoSpaceDN w:val="0"/>
        <w:adjustRightInd w:val="0"/>
        <w:spacing w:line="324" w:lineRule="auto"/>
        <w:rPr>
          <w:rFonts w:ascii="宋体" w:hAnsi="宋体" w:cs="Arial"/>
          <w:kern w:val="0"/>
          <w:sz w:val="24"/>
        </w:rPr>
      </w:pPr>
    </w:p>
    <w:p w14:paraId="723C47B1">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提名委员会是董事会下设的专门议事机构, 主要负责对拟任公司董事和经理的人选、条件、标准和程序提出建议。</w:t>
      </w:r>
    </w:p>
    <w:p w14:paraId="51422B1F">
      <w:pPr>
        <w:autoSpaceDE w:val="0"/>
        <w:autoSpaceDN w:val="0"/>
        <w:adjustRightInd w:val="0"/>
        <w:spacing w:line="324" w:lineRule="auto"/>
        <w:rPr>
          <w:rFonts w:ascii="宋体" w:hAnsi="宋体" w:cs="Arial"/>
          <w:kern w:val="0"/>
          <w:sz w:val="24"/>
        </w:rPr>
      </w:pPr>
    </w:p>
    <w:p w14:paraId="5F6D5911">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第二章 人员组成</w:t>
      </w:r>
    </w:p>
    <w:p w14:paraId="2F08B141">
      <w:pPr>
        <w:autoSpaceDE w:val="0"/>
        <w:autoSpaceDN w:val="0"/>
        <w:adjustRightInd w:val="0"/>
        <w:spacing w:line="324" w:lineRule="auto"/>
        <w:rPr>
          <w:rFonts w:ascii="宋体" w:hAnsi="宋体" w:cs="Arial"/>
          <w:b/>
          <w:kern w:val="0"/>
          <w:sz w:val="24"/>
        </w:rPr>
      </w:pPr>
    </w:p>
    <w:p w14:paraId="2A91B18D">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w:t>
      </w:r>
      <w:r>
        <w:rPr>
          <w:rFonts w:ascii="宋体" w:hAnsi="宋体" w:cs="Arial"/>
          <w:sz w:val="24"/>
        </w:rPr>
        <w:t>委员由五名董事组成, 其中独立董事应不少于三名</w:t>
      </w:r>
      <w:r>
        <w:rPr>
          <w:rFonts w:ascii="宋体" w:hAnsi="宋体" w:cs="Arial"/>
          <w:kern w:val="0"/>
          <w:sz w:val="24"/>
        </w:rPr>
        <w:t>。</w:t>
      </w:r>
    </w:p>
    <w:p w14:paraId="7EFCF1C4">
      <w:pPr>
        <w:tabs>
          <w:tab w:val="left" w:pos="1400"/>
        </w:tabs>
        <w:autoSpaceDE w:val="0"/>
        <w:autoSpaceDN w:val="0"/>
        <w:adjustRightInd w:val="0"/>
        <w:spacing w:line="324" w:lineRule="auto"/>
        <w:rPr>
          <w:rFonts w:ascii="宋体" w:hAnsi="宋体" w:cs="Arial"/>
          <w:kern w:val="0"/>
          <w:sz w:val="24"/>
        </w:rPr>
      </w:pPr>
    </w:p>
    <w:p w14:paraId="5748DBE4">
      <w:pPr>
        <w:numPr>
          <w:ilvl w:val="0"/>
          <w:numId w:val="1"/>
        </w:numPr>
        <w:tabs>
          <w:tab w:val="left" w:pos="1442"/>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sz w:val="24"/>
        </w:rPr>
        <w:t>提名委员会委员由董事长、二分之一以上独立董事或者全体董事的三分之一提名, 并由董事会选举产生。</w:t>
      </w:r>
    </w:p>
    <w:p w14:paraId="22165B6F">
      <w:pPr>
        <w:tabs>
          <w:tab w:val="left" w:pos="1600"/>
        </w:tabs>
        <w:autoSpaceDE w:val="0"/>
        <w:autoSpaceDN w:val="0"/>
        <w:adjustRightInd w:val="0"/>
        <w:spacing w:line="324" w:lineRule="auto"/>
        <w:rPr>
          <w:rFonts w:ascii="宋体" w:hAnsi="宋体" w:cs="Arial"/>
          <w:kern w:val="0"/>
          <w:sz w:val="24"/>
        </w:rPr>
      </w:pPr>
    </w:p>
    <w:p w14:paraId="44035CB5">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提名委员会设主任一名, 由独立董事委员担任。提名委员会主任由全体委员的二分之一以上选举产生。</w:t>
      </w:r>
    </w:p>
    <w:p w14:paraId="2E12D102">
      <w:pPr>
        <w:autoSpaceDE w:val="0"/>
        <w:autoSpaceDN w:val="0"/>
        <w:adjustRightInd w:val="0"/>
        <w:spacing w:line="324" w:lineRule="auto"/>
        <w:rPr>
          <w:rFonts w:ascii="宋体" w:hAnsi="宋体" w:cs="Arial"/>
          <w:kern w:val="0"/>
          <w:sz w:val="24"/>
        </w:rPr>
      </w:pPr>
    </w:p>
    <w:p w14:paraId="2E85C2AC">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提名委员会主任负责召集和主持提名委员会会议, 当提名委员会主任不能或无法履行职责时, 由其指定一名其他独立董事委员代行其职责。</w:t>
      </w:r>
    </w:p>
    <w:p w14:paraId="6EC308EE">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提名委员会的任期与同届董事会的任期相同。提名委员会因委员辞职或免职或其他原因而导致人数低于规定人数的三分之二时, 公司董事会应尽快选举产生新的委员。</w:t>
      </w:r>
    </w:p>
    <w:p w14:paraId="0494EA82">
      <w:pPr>
        <w:autoSpaceDE w:val="0"/>
        <w:autoSpaceDN w:val="0"/>
        <w:adjustRightInd w:val="0"/>
        <w:spacing w:line="324" w:lineRule="auto"/>
        <w:rPr>
          <w:rFonts w:ascii="宋体" w:hAnsi="宋体" w:cs="Arial"/>
          <w:kern w:val="0"/>
          <w:sz w:val="24"/>
        </w:rPr>
      </w:pPr>
    </w:p>
    <w:p w14:paraId="54383E62">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在提名委员会委员人数达到规定人数的三分之二以前, 提名委员会暂停行使本工作细则规定的职权。</w:t>
      </w:r>
    </w:p>
    <w:p w14:paraId="137489AA">
      <w:pPr>
        <w:autoSpaceDE w:val="0"/>
        <w:autoSpaceDN w:val="0"/>
        <w:adjustRightInd w:val="0"/>
        <w:spacing w:line="324" w:lineRule="auto"/>
        <w:rPr>
          <w:rFonts w:ascii="宋体" w:hAnsi="宋体" w:cs="Arial"/>
          <w:kern w:val="0"/>
          <w:sz w:val="24"/>
        </w:rPr>
      </w:pPr>
    </w:p>
    <w:p w14:paraId="2BD5C6D9">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《公司法》、《公司章程》关于董事义务的规定适用于提名委员会委员。</w:t>
      </w:r>
    </w:p>
    <w:p w14:paraId="575BAF89">
      <w:pPr>
        <w:autoSpaceDE w:val="0"/>
        <w:autoSpaceDN w:val="0"/>
        <w:adjustRightInd w:val="0"/>
        <w:spacing w:line="324" w:lineRule="auto"/>
        <w:rPr>
          <w:rFonts w:ascii="宋体" w:hAnsi="宋体" w:cs="Arial"/>
          <w:kern w:val="0"/>
          <w:sz w:val="24"/>
        </w:rPr>
      </w:pPr>
    </w:p>
    <w:p w14:paraId="1392AC6B">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第三章 职责权限</w:t>
      </w:r>
    </w:p>
    <w:p w14:paraId="6C135E49">
      <w:pPr>
        <w:autoSpaceDE w:val="0"/>
        <w:autoSpaceDN w:val="0"/>
        <w:adjustRightInd w:val="0"/>
        <w:spacing w:line="324" w:lineRule="auto"/>
        <w:rPr>
          <w:rFonts w:ascii="宋体" w:hAnsi="宋体" w:cs="Arial"/>
          <w:b/>
          <w:kern w:val="0"/>
          <w:sz w:val="24"/>
        </w:rPr>
      </w:pPr>
    </w:p>
    <w:p w14:paraId="51641771">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提名委员会主要负责向公司董事会提出更换、推荐新任董事候选人及总经理候选人的意见或建议。</w:t>
      </w:r>
    </w:p>
    <w:p w14:paraId="5F0782A2">
      <w:pPr>
        <w:autoSpaceDE w:val="0"/>
        <w:autoSpaceDN w:val="0"/>
        <w:adjustRightInd w:val="0"/>
        <w:spacing w:line="324" w:lineRule="auto"/>
        <w:rPr>
          <w:rFonts w:ascii="宋体" w:hAnsi="宋体" w:cs="Arial"/>
          <w:kern w:val="0"/>
          <w:sz w:val="24"/>
        </w:rPr>
      </w:pPr>
    </w:p>
    <w:p w14:paraId="504FB73F">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w:t>
      </w:r>
      <w:r>
        <w:rPr>
          <w:rFonts w:hint="eastAsia" w:ascii="宋体" w:hAnsi="宋体" w:cs="Arial"/>
          <w:kern w:val="0"/>
          <w:sz w:val="24"/>
        </w:rPr>
        <w:t>负责拟定董事、高级管理人员的选择标准和程序, 对董事、高级管理人员人选及其任职资格进行遴选、审核, 并就下列事项向董事会提出建议</w:t>
      </w:r>
      <w:r>
        <w:rPr>
          <w:rFonts w:ascii="宋体" w:hAnsi="宋体" w:cs="Arial"/>
          <w:kern w:val="0"/>
          <w:sz w:val="24"/>
        </w:rPr>
        <w:t xml:space="preserve">: </w:t>
      </w:r>
    </w:p>
    <w:p w14:paraId="62828553">
      <w:pPr>
        <w:tabs>
          <w:tab w:val="left" w:pos="2100"/>
        </w:tabs>
        <w:autoSpaceDE w:val="0"/>
        <w:autoSpaceDN w:val="0"/>
        <w:adjustRightInd w:val="0"/>
        <w:spacing w:line="324" w:lineRule="auto"/>
        <w:ind w:left="2200" w:leftChars="699" w:hanging="732" w:hangingChars="305"/>
        <w:rPr>
          <w:rFonts w:hint="eastAsia" w:ascii="宋体" w:hAnsi="宋体" w:cs="Arial"/>
          <w:kern w:val="0"/>
          <w:sz w:val="24"/>
        </w:rPr>
      </w:pPr>
      <w:r>
        <w:rPr>
          <w:rFonts w:ascii="宋体" w:hAnsi="宋体" w:cs="Arial"/>
          <w:kern w:val="0"/>
          <w:sz w:val="24"/>
        </w:rPr>
        <w:t>(一)</w:t>
      </w:r>
      <w:r>
        <w:rPr>
          <w:rFonts w:ascii="宋体" w:hAnsi="宋体" w:cs="Arial"/>
          <w:kern w:val="0"/>
          <w:sz w:val="24"/>
        </w:rPr>
        <w:tab/>
      </w:r>
      <w:r>
        <w:rPr>
          <w:rFonts w:hint="eastAsia" w:ascii="宋体" w:hAnsi="宋体" w:cs="Arial"/>
          <w:kern w:val="0"/>
          <w:sz w:val="24"/>
        </w:rPr>
        <w:t>提名或者任免董事</w:t>
      </w:r>
      <w:r>
        <w:rPr>
          <w:rFonts w:ascii="宋体" w:hAnsi="宋体" w:cs="Arial"/>
          <w:kern w:val="0"/>
          <w:sz w:val="24"/>
        </w:rPr>
        <w:t xml:space="preserve">; </w:t>
      </w:r>
    </w:p>
    <w:p w14:paraId="233D607B">
      <w:pPr>
        <w:tabs>
          <w:tab w:val="left" w:pos="2100"/>
        </w:tabs>
        <w:autoSpaceDE w:val="0"/>
        <w:autoSpaceDN w:val="0"/>
        <w:adjustRightInd w:val="0"/>
        <w:spacing w:line="324" w:lineRule="auto"/>
        <w:ind w:left="2200" w:leftChars="699" w:hanging="732" w:hangingChars="305"/>
        <w:rPr>
          <w:rFonts w:hint="eastAsia" w:ascii="宋体" w:hAnsi="宋体" w:cs="Arial"/>
          <w:kern w:val="0"/>
          <w:sz w:val="24"/>
        </w:rPr>
      </w:pPr>
      <w:r>
        <w:rPr>
          <w:rFonts w:ascii="宋体" w:hAnsi="宋体" w:cs="Arial"/>
          <w:kern w:val="0"/>
          <w:sz w:val="24"/>
        </w:rPr>
        <w:t>(二)</w:t>
      </w:r>
      <w:r>
        <w:rPr>
          <w:rFonts w:ascii="宋体" w:hAnsi="宋体" w:cs="Arial"/>
          <w:kern w:val="0"/>
          <w:sz w:val="24"/>
        </w:rPr>
        <w:tab/>
      </w:r>
      <w:r>
        <w:rPr>
          <w:rFonts w:hint="eastAsia" w:ascii="宋体" w:hAnsi="宋体" w:cs="Arial"/>
          <w:kern w:val="0"/>
          <w:sz w:val="24"/>
        </w:rPr>
        <w:t>聘任或者解聘高级管理人员</w:t>
      </w:r>
      <w:r>
        <w:rPr>
          <w:rFonts w:ascii="宋体" w:hAnsi="宋体" w:cs="Arial"/>
          <w:kern w:val="0"/>
          <w:sz w:val="24"/>
        </w:rPr>
        <w:t xml:space="preserve">; </w:t>
      </w:r>
    </w:p>
    <w:p w14:paraId="3C18AF69">
      <w:pPr>
        <w:numPr>
          <w:ilvl w:val="0"/>
          <w:numId w:val="2"/>
        </w:numPr>
        <w:autoSpaceDE w:val="0"/>
        <w:autoSpaceDN w:val="0"/>
        <w:adjustRightInd w:val="0"/>
        <w:spacing w:line="324" w:lineRule="auto"/>
        <w:rPr>
          <w:rFonts w:hint="eastAsia" w:ascii="宋体" w:hAnsi="宋体" w:cs="Arial"/>
          <w:kern w:val="0"/>
          <w:sz w:val="24"/>
        </w:rPr>
      </w:pPr>
      <w:r>
        <w:rPr>
          <w:rFonts w:hint="eastAsia" w:ascii="宋体" w:hAnsi="宋体" w:cs="Arial"/>
          <w:kern w:val="0"/>
          <w:sz w:val="24"/>
        </w:rPr>
        <w:t>法律法规、深圳证券交易所有关规定和《公司章程》规定的其他事项。</w:t>
      </w:r>
      <w:r>
        <w:rPr>
          <w:rFonts w:ascii="宋体" w:hAnsi="宋体" w:cs="Arial"/>
          <w:kern w:val="0"/>
          <w:sz w:val="24"/>
        </w:rPr>
        <w:t xml:space="preserve"> </w:t>
      </w:r>
    </w:p>
    <w:p w14:paraId="112E87E8">
      <w:pPr>
        <w:autoSpaceDE w:val="0"/>
        <w:autoSpaceDN w:val="0"/>
        <w:adjustRightInd w:val="0"/>
        <w:spacing w:line="324" w:lineRule="auto"/>
        <w:rPr>
          <w:rFonts w:ascii="宋体" w:hAnsi="宋体" w:cs="Arial"/>
          <w:kern w:val="0"/>
          <w:sz w:val="24"/>
        </w:rPr>
      </w:pPr>
    </w:p>
    <w:p w14:paraId="2DE37644">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提名委员会对本工作细则第十条规定的事项进行审议后, 应形成提名委员会会议决议并连同相关议案报送公司董事会。</w:t>
      </w:r>
      <w:r>
        <w:rPr>
          <w:rFonts w:hint="eastAsia" w:ascii="宋体" w:hAnsi="宋体" w:cs="Arial"/>
          <w:kern w:val="0"/>
          <w:sz w:val="24"/>
        </w:rPr>
        <w:t>董事会对提名委员会的建议未采纳或者未完全采纳的, 应当在董事会决议中记载提名委员会的意见及未采纳的具体理由, 并进行披露。</w:t>
      </w:r>
    </w:p>
    <w:p w14:paraId="7EAF7C32">
      <w:pPr>
        <w:autoSpaceDE w:val="0"/>
        <w:autoSpaceDN w:val="0"/>
        <w:adjustRightInd w:val="0"/>
        <w:spacing w:line="324" w:lineRule="auto"/>
        <w:ind w:firstLine="600" w:firstLineChars="250"/>
        <w:rPr>
          <w:rFonts w:ascii="宋体" w:hAnsi="宋体" w:cs="Arial"/>
          <w:kern w:val="0"/>
          <w:sz w:val="24"/>
        </w:rPr>
      </w:pPr>
    </w:p>
    <w:p w14:paraId="4C61B80C">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提名委员会行使职权必须符合《公司法》、《公司章程》及本工作细则的有关规定, 不得损害公司和股东的利益。</w:t>
      </w:r>
    </w:p>
    <w:p w14:paraId="37FC47EC">
      <w:pPr>
        <w:autoSpaceDE w:val="0"/>
        <w:autoSpaceDN w:val="0"/>
        <w:adjustRightInd w:val="0"/>
        <w:spacing w:line="324" w:lineRule="auto"/>
        <w:ind w:firstLine="600" w:firstLineChars="250"/>
        <w:rPr>
          <w:rFonts w:ascii="宋体" w:hAnsi="宋体" w:cs="Arial"/>
          <w:kern w:val="0"/>
          <w:sz w:val="24"/>
        </w:rPr>
      </w:pPr>
    </w:p>
    <w:p w14:paraId="4E33A0CB">
      <w:pPr>
        <w:numPr>
          <w:ilvl w:val="0"/>
          <w:numId w:val="1"/>
        </w:numPr>
        <w:tabs>
          <w:tab w:val="left" w:pos="1484"/>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提名委员会履行职责时, 公司相关部门应给予配合, 所需费用由公司承担。</w:t>
      </w:r>
    </w:p>
    <w:p w14:paraId="53DEF555">
      <w:pPr>
        <w:autoSpaceDE w:val="0"/>
        <w:autoSpaceDN w:val="0"/>
        <w:adjustRightInd w:val="0"/>
        <w:spacing w:line="324" w:lineRule="auto"/>
        <w:ind w:firstLine="499" w:firstLineChars="208"/>
        <w:rPr>
          <w:rFonts w:ascii="宋体" w:hAnsi="宋体" w:cs="Arial"/>
          <w:kern w:val="0"/>
          <w:sz w:val="24"/>
        </w:rPr>
      </w:pPr>
    </w:p>
    <w:p w14:paraId="3C80D024">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董事会应充分尊重提名委员会关于董事、总经理候选人提名的建议。</w:t>
      </w:r>
    </w:p>
    <w:p w14:paraId="45A89362">
      <w:pPr>
        <w:autoSpaceDE w:val="0"/>
        <w:autoSpaceDN w:val="0"/>
        <w:adjustRightInd w:val="0"/>
        <w:spacing w:line="324" w:lineRule="auto"/>
        <w:ind w:firstLine="600" w:firstLineChars="250"/>
        <w:rPr>
          <w:rFonts w:ascii="宋体" w:hAnsi="宋体" w:cs="Arial"/>
          <w:kern w:val="0"/>
          <w:sz w:val="24"/>
        </w:rPr>
      </w:pPr>
    </w:p>
    <w:p w14:paraId="58B7DE89">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第四章 会议的召开与通知</w:t>
      </w:r>
    </w:p>
    <w:p w14:paraId="14980ABF">
      <w:pPr>
        <w:autoSpaceDE w:val="0"/>
        <w:autoSpaceDN w:val="0"/>
        <w:adjustRightInd w:val="0"/>
        <w:spacing w:line="324" w:lineRule="auto"/>
        <w:rPr>
          <w:rFonts w:ascii="宋体" w:hAnsi="宋体" w:cs="Arial"/>
          <w:kern w:val="0"/>
          <w:sz w:val="24"/>
        </w:rPr>
      </w:pPr>
    </w:p>
    <w:p w14:paraId="3F7CC366">
      <w:pPr>
        <w:numPr>
          <w:ilvl w:val="0"/>
          <w:numId w:val="1"/>
        </w:numPr>
        <w:tabs>
          <w:tab w:val="left" w:pos="1418"/>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提名委员会分为定期会议和临时会议。</w:t>
      </w:r>
    </w:p>
    <w:p w14:paraId="0AB39895">
      <w:pPr>
        <w:autoSpaceDE w:val="0"/>
        <w:autoSpaceDN w:val="0"/>
        <w:adjustRightInd w:val="0"/>
        <w:spacing w:line="324" w:lineRule="auto"/>
        <w:ind w:firstLine="499" w:firstLineChars="208"/>
        <w:rPr>
          <w:rFonts w:ascii="宋体" w:hAnsi="宋体" w:cs="Arial"/>
          <w:kern w:val="0"/>
          <w:sz w:val="24"/>
        </w:rPr>
      </w:pPr>
    </w:p>
    <w:p w14:paraId="27F0DDC0">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在每一个会计年度内, 提名委员会应至少召开一次定期会议。定期会议应在上一会计年度结束后的三个月内召开。</w:t>
      </w:r>
    </w:p>
    <w:p w14:paraId="7816007F">
      <w:pPr>
        <w:autoSpaceDE w:val="0"/>
        <w:autoSpaceDN w:val="0"/>
        <w:adjustRightInd w:val="0"/>
        <w:spacing w:line="324" w:lineRule="auto"/>
        <w:ind w:firstLine="499" w:firstLineChars="208"/>
        <w:rPr>
          <w:rFonts w:ascii="宋体" w:hAnsi="宋体" w:cs="Arial"/>
          <w:kern w:val="0"/>
          <w:sz w:val="24"/>
        </w:rPr>
      </w:pPr>
    </w:p>
    <w:p w14:paraId="51F41B3D">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公司董事长、提名委员会主任或两名以上委员联名可要求召开提名委员会临时会议。</w:t>
      </w:r>
    </w:p>
    <w:p w14:paraId="2DF3CACE">
      <w:pPr>
        <w:autoSpaceDE w:val="0"/>
        <w:autoSpaceDN w:val="0"/>
        <w:adjustRightInd w:val="0"/>
        <w:spacing w:line="324" w:lineRule="auto"/>
        <w:ind w:firstLine="600" w:firstLineChars="250"/>
        <w:rPr>
          <w:rFonts w:ascii="宋体" w:hAnsi="宋体" w:cs="Arial"/>
          <w:kern w:val="0"/>
          <w:sz w:val="24"/>
        </w:rPr>
      </w:pPr>
    </w:p>
    <w:p w14:paraId="6F882E6B">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提名委员会定期会议主要对公司董事、总经理及其他高级管理人员上一年度的工作表现及是否存在需要更换董事、总经理及其他高级管理人员的情形进行讨论和审议。</w:t>
      </w:r>
    </w:p>
    <w:p w14:paraId="2D18BF93">
      <w:pPr>
        <w:autoSpaceDE w:val="0"/>
        <w:autoSpaceDN w:val="0"/>
        <w:adjustRightInd w:val="0"/>
        <w:spacing w:line="324" w:lineRule="auto"/>
        <w:ind w:firstLine="499" w:firstLineChars="208"/>
        <w:rPr>
          <w:rFonts w:ascii="宋体" w:hAnsi="宋体" w:cs="Arial"/>
          <w:kern w:val="0"/>
          <w:sz w:val="24"/>
        </w:rPr>
      </w:pPr>
    </w:p>
    <w:p w14:paraId="6CDB2EA8">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除上款规定的内容外, 提名委员会定期会议还可以讨论职权范围内且列明于会议通知中的任何事项。</w:t>
      </w:r>
    </w:p>
    <w:p w14:paraId="40F685D7">
      <w:pPr>
        <w:autoSpaceDE w:val="0"/>
        <w:autoSpaceDN w:val="0"/>
        <w:adjustRightInd w:val="0"/>
        <w:spacing w:line="324" w:lineRule="auto"/>
        <w:ind w:left="1438" w:leftChars="685"/>
        <w:rPr>
          <w:rFonts w:hint="eastAsia" w:ascii="宋体" w:hAnsi="宋体" w:cs="Arial"/>
          <w:kern w:val="0"/>
          <w:sz w:val="24"/>
        </w:rPr>
      </w:pPr>
    </w:p>
    <w:p w14:paraId="65BD9ABC">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提名委员会定期会议应采用现场会议的形式。临时会议既可采用现场会议形式, 也可采用非现场会议的通讯表决方式。</w:t>
      </w:r>
    </w:p>
    <w:p w14:paraId="1818CC4A">
      <w:pPr>
        <w:autoSpaceDE w:val="0"/>
        <w:autoSpaceDN w:val="0"/>
        <w:adjustRightInd w:val="0"/>
        <w:spacing w:line="324" w:lineRule="auto"/>
        <w:ind w:firstLine="499" w:firstLineChars="208"/>
        <w:rPr>
          <w:rFonts w:ascii="宋体" w:hAnsi="宋体" w:cs="Arial"/>
          <w:kern w:val="0"/>
          <w:sz w:val="24"/>
        </w:rPr>
      </w:pPr>
    </w:p>
    <w:p w14:paraId="5A7FE08A">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除《公司章程》或本工作细则另有规定外, 提名委员会临时会议在保障委员充分表达意见的前提下, 可以用传真</w:t>
      </w:r>
      <w:r>
        <w:rPr>
          <w:rFonts w:hint="eastAsia" w:ascii="宋体" w:hAnsi="宋体" w:cs="Arial"/>
          <w:kern w:val="0"/>
          <w:sz w:val="24"/>
        </w:rPr>
        <w:t>、传阅、视频、电话会议、电子邮件或通讯表决等现代通讯技术</w:t>
      </w:r>
      <w:r>
        <w:rPr>
          <w:rFonts w:ascii="宋体" w:hAnsi="宋体" w:cs="Arial"/>
          <w:kern w:val="0"/>
          <w:sz w:val="24"/>
        </w:rPr>
        <w:t>方式作出决议, 并由参会委员签字。</w:t>
      </w:r>
    </w:p>
    <w:p w14:paraId="6AC8D0BF">
      <w:pPr>
        <w:autoSpaceDE w:val="0"/>
        <w:autoSpaceDN w:val="0"/>
        <w:adjustRightInd w:val="0"/>
        <w:spacing w:line="324" w:lineRule="auto"/>
        <w:ind w:firstLine="499" w:firstLineChars="208"/>
        <w:rPr>
          <w:rFonts w:ascii="宋体" w:hAnsi="宋体" w:cs="Arial"/>
          <w:kern w:val="0"/>
          <w:sz w:val="24"/>
        </w:rPr>
      </w:pPr>
    </w:p>
    <w:p w14:paraId="1A3DA98A">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如采用通讯表决方式, 则提名委员会委员在会议决议上签字者即视为出席了相关会议并同意会议决议内容。</w:t>
      </w:r>
    </w:p>
    <w:p w14:paraId="4022B130">
      <w:pPr>
        <w:autoSpaceDE w:val="0"/>
        <w:autoSpaceDN w:val="0"/>
        <w:adjustRightInd w:val="0"/>
        <w:spacing w:line="324" w:lineRule="auto"/>
        <w:rPr>
          <w:rFonts w:ascii="宋体" w:hAnsi="宋体" w:cs="Arial"/>
          <w:kern w:val="0"/>
          <w:sz w:val="24"/>
        </w:rPr>
      </w:pPr>
    </w:p>
    <w:p w14:paraId="1EFF5184">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提名委员会定期会议应于会议召开前七日(不包括开会当日)发出会议通知, 临时会议应于会议召开前两日(不包括开会当日)发出会议通知。</w:t>
      </w:r>
      <w:r>
        <w:rPr>
          <w:rFonts w:hint="eastAsia" w:ascii="宋体" w:hAnsi="宋体" w:cs="Arial"/>
          <w:kern w:val="0"/>
          <w:sz w:val="24"/>
        </w:rPr>
        <w:t>经全体委员一致同意, 可免除前述通知期限要求。</w:t>
      </w:r>
    </w:p>
    <w:p w14:paraId="62922797">
      <w:pPr>
        <w:autoSpaceDE w:val="0"/>
        <w:autoSpaceDN w:val="0"/>
        <w:adjustRightInd w:val="0"/>
        <w:spacing w:line="324" w:lineRule="auto"/>
        <w:ind w:firstLine="499" w:firstLineChars="208"/>
        <w:rPr>
          <w:rFonts w:ascii="宋体" w:hAnsi="宋体" w:cs="Arial"/>
          <w:kern w:val="0"/>
          <w:sz w:val="24"/>
        </w:rPr>
      </w:pPr>
    </w:p>
    <w:p w14:paraId="27E4D2B6">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公司董事会办公室负责发出提名委员会会议通知, 应按照前条规定的期限发出会议通知。</w:t>
      </w:r>
    </w:p>
    <w:p w14:paraId="36D3D63D">
      <w:pPr>
        <w:autoSpaceDE w:val="0"/>
        <w:autoSpaceDN w:val="0"/>
        <w:adjustRightInd w:val="0"/>
        <w:spacing w:line="324" w:lineRule="auto"/>
        <w:rPr>
          <w:rFonts w:ascii="宋体" w:hAnsi="宋体" w:cs="Arial"/>
          <w:kern w:val="0"/>
          <w:sz w:val="24"/>
        </w:rPr>
      </w:pPr>
    </w:p>
    <w:p w14:paraId="71CF5C0D">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 xml:space="preserve">提名委员会会议通知应至少包括以下内容: </w:t>
      </w:r>
    </w:p>
    <w:p w14:paraId="741B7C1F">
      <w:pPr>
        <w:tabs>
          <w:tab w:val="left" w:pos="21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(一)</w:t>
      </w:r>
      <w:r>
        <w:rPr>
          <w:rFonts w:ascii="宋体" w:hAnsi="宋体" w:cs="Arial"/>
          <w:kern w:val="0"/>
          <w:sz w:val="24"/>
        </w:rPr>
        <w:tab/>
      </w:r>
      <w:r>
        <w:rPr>
          <w:rFonts w:ascii="宋体" w:hAnsi="宋体" w:cs="Arial"/>
          <w:kern w:val="0"/>
          <w:sz w:val="24"/>
        </w:rPr>
        <w:t xml:space="preserve">会议召开时间、地点; </w:t>
      </w:r>
    </w:p>
    <w:p w14:paraId="76D0B461">
      <w:pPr>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(二)</w:t>
      </w:r>
      <w:r>
        <w:rPr>
          <w:rFonts w:ascii="宋体" w:hAnsi="宋体" w:cs="Arial"/>
          <w:kern w:val="0"/>
          <w:sz w:val="24"/>
        </w:rPr>
        <w:tab/>
      </w:r>
      <w:r>
        <w:rPr>
          <w:rFonts w:ascii="宋体" w:hAnsi="宋体" w:cs="Arial"/>
          <w:kern w:val="0"/>
          <w:sz w:val="24"/>
        </w:rPr>
        <w:t xml:space="preserve">会议期限; </w:t>
      </w:r>
    </w:p>
    <w:p w14:paraId="4ECBC810">
      <w:pPr>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(三)</w:t>
      </w:r>
      <w:r>
        <w:rPr>
          <w:rFonts w:ascii="宋体" w:hAnsi="宋体" w:cs="Arial"/>
          <w:kern w:val="0"/>
          <w:sz w:val="24"/>
        </w:rPr>
        <w:tab/>
      </w:r>
      <w:r>
        <w:rPr>
          <w:rFonts w:ascii="宋体" w:hAnsi="宋体" w:cs="Arial"/>
          <w:kern w:val="0"/>
          <w:sz w:val="24"/>
        </w:rPr>
        <w:t xml:space="preserve">会议需要讨论的议题; </w:t>
      </w:r>
    </w:p>
    <w:p w14:paraId="66EEEB0F">
      <w:pPr>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(四)</w:t>
      </w:r>
      <w:r>
        <w:rPr>
          <w:rFonts w:ascii="宋体" w:hAnsi="宋体" w:cs="Arial"/>
          <w:kern w:val="0"/>
          <w:sz w:val="24"/>
        </w:rPr>
        <w:tab/>
      </w:r>
      <w:r>
        <w:rPr>
          <w:rFonts w:ascii="宋体" w:hAnsi="宋体" w:cs="Arial"/>
          <w:kern w:val="0"/>
          <w:sz w:val="24"/>
        </w:rPr>
        <w:t xml:space="preserve">会议联系人及联系方式; </w:t>
      </w:r>
    </w:p>
    <w:p w14:paraId="526C1166">
      <w:pPr>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(五)</w:t>
      </w:r>
      <w:r>
        <w:rPr>
          <w:rFonts w:ascii="宋体" w:hAnsi="宋体" w:cs="Arial"/>
          <w:kern w:val="0"/>
          <w:sz w:val="24"/>
        </w:rPr>
        <w:tab/>
      </w:r>
      <w:r>
        <w:rPr>
          <w:rFonts w:ascii="宋体" w:hAnsi="宋体" w:cs="Arial"/>
          <w:kern w:val="0"/>
          <w:sz w:val="24"/>
        </w:rPr>
        <w:t>会议通知的日期。</w:t>
      </w:r>
    </w:p>
    <w:p w14:paraId="2071C810">
      <w:pPr>
        <w:autoSpaceDE w:val="0"/>
        <w:autoSpaceDN w:val="0"/>
        <w:adjustRightInd w:val="0"/>
        <w:spacing w:line="324" w:lineRule="auto"/>
        <w:ind w:firstLine="398" w:firstLineChars="166"/>
        <w:rPr>
          <w:rFonts w:ascii="宋体" w:hAnsi="宋体" w:cs="Arial"/>
          <w:kern w:val="0"/>
          <w:sz w:val="24"/>
        </w:rPr>
      </w:pPr>
    </w:p>
    <w:p w14:paraId="4EBE7F07">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公司董事会办公室所发出的提名委员会会议通知应备附内容完整的议案。</w:t>
      </w:r>
    </w:p>
    <w:p w14:paraId="478CA0B1">
      <w:pPr>
        <w:autoSpaceDE w:val="0"/>
        <w:autoSpaceDN w:val="0"/>
        <w:adjustRightInd w:val="0"/>
        <w:spacing w:line="324" w:lineRule="auto"/>
        <w:ind w:firstLine="499" w:firstLineChars="208"/>
        <w:rPr>
          <w:rFonts w:ascii="宋体" w:hAnsi="宋体" w:cs="Arial"/>
          <w:kern w:val="0"/>
          <w:sz w:val="24"/>
        </w:rPr>
      </w:pPr>
    </w:p>
    <w:p w14:paraId="2BCC7860">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提名委员会定期会议采用书面通知的方式, 临时会议可采用电话、电子邮件或其他快捷方式进行通知。</w:t>
      </w:r>
    </w:p>
    <w:p w14:paraId="55D9FF99">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第五章 议事与表决程序</w:t>
      </w:r>
    </w:p>
    <w:p w14:paraId="0EFE2321">
      <w:pPr>
        <w:autoSpaceDE w:val="0"/>
        <w:autoSpaceDN w:val="0"/>
        <w:adjustRightInd w:val="0"/>
        <w:spacing w:line="324" w:lineRule="auto"/>
        <w:rPr>
          <w:rFonts w:ascii="宋体" w:hAnsi="宋体" w:cs="Arial"/>
          <w:b/>
          <w:kern w:val="0"/>
          <w:sz w:val="24"/>
        </w:rPr>
      </w:pPr>
    </w:p>
    <w:p w14:paraId="1ADD6CDA">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提名委员会应由三分之二以上的委员出席方可举行。</w:t>
      </w:r>
    </w:p>
    <w:p w14:paraId="02A2CC5C">
      <w:pPr>
        <w:autoSpaceDE w:val="0"/>
        <w:autoSpaceDN w:val="0"/>
        <w:adjustRightInd w:val="0"/>
        <w:spacing w:line="324" w:lineRule="auto"/>
        <w:ind w:firstLine="499" w:firstLineChars="208"/>
        <w:rPr>
          <w:rFonts w:ascii="宋体" w:hAnsi="宋体" w:cs="Arial"/>
          <w:kern w:val="0"/>
          <w:sz w:val="24"/>
        </w:rPr>
      </w:pPr>
    </w:p>
    <w:p w14:paraId="3614AF5E">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公司董事可以出席提名委员会会议, 但非委员董事对会议议案没有表决权。</w:t>
      </w:r>
    </w:p>
    <w:p w14:paraId="3F97DFCD">
      <w:pPr>
        <w:autoSpaceDE w:val="0"/>
        <w:autoSpaceDN w:val="0"/>
        <w:adjustRightInd w:val="0"/>
        <w:spacing w:line="324" w:lineRule="auto"/>
        <w:ind w:firstLine="499" w:firstLineChars="208"/>
        <w:rPr>
          <w:rFonts w:ascii="宋体" w:hAnsi="宋体" w:cs="Arial"/>
          <w:kern w:val="0"/>
          <w:sz w:val="24"/>
        </w:rPr>
      </w:pPr>
    </w:p>
    <w:p w14:paraId="76CA7FBA">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提名委员会委员可以亲自出席会议, 也可以委托其他委员代为出席会议并行使表决权。</w:t>
      </w:r>
    </w:p>
    <w:p w14:paraId="372EF340">
      <w:pPr>
        <w:autoSpaceDE w:val="0"/>
        <w:autoSpaceDN w:val="0"/>
        <w:adjustRightInd w:val="0"/>
        <w:spacing w:line="324" w:lineRule="auto"/>
        <w:ind w:firstLine="499" w:firstLineChars="208"/>
        <w:rPr>
          <w:rFonts w:ascii="宋体" w:hAnsi="宋体" w:cs="Arial"/>
          <w:kern w:val="0"/>
          <w:sz w:val="24"/>
        </w:rPr>
      </w:pPr>
    </w:p>
    <w:p w14:paraId="15A345F0">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提名委员会委员委托其他委员代为出席会议并行使表决</w:t>
      </w:r>
      <w:r>
        <w:rPr>
          <w:sz w:val="24"/>
        </w:rPr>
        <w:t>权的</w:t>
      </w:r>
      <w:r>
        <w:rPr>
          <w:rFonts w:ascii="宋体" w:hAnsi="宋体"/>
          <w:sz w:val="24"/>
        </w:rPr>
        <w:t>, 应向会议主持人提交授权委托书。授权委托书应至迟于会议表决前提交给会议主持人。</w:t>
      </w:r>
    </w:p>
    <w:p w14:paraId="5FEBC761">
      <w:pPr>
        <w:autoSpaceDE w:val="0"/>
        <w:autoSpaceDN w:val="0"/>
        <w:adjustRightInd w:val="0"/>
        <w:spacing w:line="324" w:lineRule="auto"/>
        <w:ind w:firstLine="499" w:firstLineChars="208"/>
        <w:rPr>
          <w:rFonts w:ascii="宋体" w:hAnsi="宋体" w:cs="Arial"/>
          <w:kern w:val="0"/>
          <w:sz w:val="24"/>
        </w:rPr>
      </w:pPr>
    </w:p>
    <w:p w14:paraId="48817D99">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 xml:space="preserve">授权委托书应至少包括以下内容: </w:t>
      </w:r>
    </w:p>
    <w:p w14:paraId="1FCEB141">
      <w:pPr>
        <w:tabs>
          <w:tab w:val="left" w:pos="20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(一)</w:t>
      </w:r>
      <w:r>
        <w:rPr>
          <w:rFonts w:ascii="宋体" w:hAnsi="宋体" w:cs="Arial"/>
          <w:kern w:val="0"/>
          <w:sz w:val="24"/>
        </w:rPr>
        <w:tab/>
      </w:r>
      <w:r>
        <w:rPr>
          <w:rFonts w:ascii="宋体" w:hAnsi="宋体" w:cs="Arial"/>
          <w:kern w:val="0"/>
          <w:sz w:val="24"/>
        </w:rPr>
        <w:t xml:space="preserve">委托人姓名; </w:t>
      </w:r>
    </w:p>
    <w:p w14:paraId="1A54A139">
      <w:pPr>
        <w:tabs>
          <w:tab w:val="left" w:pos="20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(二)</w:t>
      </w:r>
      <w:r>
        <w:rPr>
          <w:rFonts w:ascii="宋体" w:hAnsi="宋体" w:cs="Arial"/>
          <w:kern w:val="0"/>
          <w:sz w:val="24"/>
        </w:rPr>
        <w:tab/>
      </w:r>
      <w:r>
        <w:rPr>
          <w:rFonts w:ascii="宋体" w:hAnsi="宋体" w:cs="Arial"/>
          <w:kern w:val="0"/>
          <w:sz w:val="24"/>
        </w:rPr>
        <w:t xml:space="preserve">被委托人姓名; </w:t>
      </w:r>
    </w:p>
    <w:p w14:paraId="6B749D9E">
      <w:pPr>
        <w:numPr>
          <w:ilvl w:val="0"/>
          <w:numId w:val="3"/>
        </w:numPr>
        <w:autoSpaceDE w:val="0"/>
        <w:autoSpaceDN w:val="0"/>
        <w:adjustRightInd w:val="0"/>
        <w:spacing w:line="324" w:lineRule="auto"/>
        <w:rPr>
          <w:rFonts w:hint="eastAsia" w:ascii="宋体" w:hAnsi="宋体" w:cs="Arial"/>
          <w:kern w:val="0"/>
          <w:sz w:val="24"/>
        </w:rPr>
      </w:pPr>
      <w:r>
        <w:rPr>
          <w:rFonts w:ascii="宋体" w:hAnsi="宋体" w:cs="Arial"/>
          <w:kern w:val="0"/>
          <w:sz w:val="24"/>
        </w:rPr>
        <w:t xml:space="preserve">代理委托事项; </w:t>
      </w:r>
    </w:p>
    <w:p w14:paraId="5BB55D6E">
      <w:pPr>
        <w:numPr>
          <w:ilvl w:val="0"/>
          <w:numId w:val="3"/>
        </w:numPr>
        <w:autoSpaceDE w:val="0"/>
        <w:autoSpaceDN w:val="0"/>
        <w:adjustRightInd w:val="0"/>
        <w:spacing w:line="324" w:lineRule="auto"/>
        <w:rPr>
          <w:rFonts w:ascii="宋体" w:hAnsi="宋体" w:cs="Arial"/>
          <w:kern w:val="0"/>
          <w:sz w:val="24"/>
        </w:rPr>
      </w:pPr>
      <w:r>
        <w:rPr>
          <w:rFonts w:ascii="宋体" w:hAnsi="宋体" w:cs="Arial"/>
          <w:kern w:val="0"/>
          <w:sz w:val="24"/>
        </w:rPr>
        <w:t xml:space="preserve">对会议议题行使投票权的指示(赞成、反对、弃权)以及未做具体指示时, 被委托人是否可按自己意思表决的说明; </w:t>
      </w:r>
    </w:p>
    <w:p w14:paraId="6B2AAAD3">
      <w:pPr>
        <w:tabs>
          <w:tab w:val="left" w:pos="20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(五)</w:t>
      </w:r>
      <w:r>
        <w:rPr>
          <w:rFonts w:ascii="宋体" w:hAnsi="宋体" w:cs="Arial"/>
          <w:kern w:val="0"/>
          <w:sz w:val="24"/>
        </w:rPr>
        <w:tab/>
      </w:r>
      <w:r>
        <w:rPr>
          <w:rFonts w:ascii="宋体" w:hAnsi="宋体" w:cs="Arial"/>
          <w:kern w:val="0"/>
          <w:sz w:val="24"/>
        </w:rPr>
        <w:t xml:space="preserve">授权委托的期限; </w:t>
      </w:r>
    </w:p>
    <w:p w14:paraId="2A0BDF8B">
      <w:pPr>
        <w:tabs>
          <w:tab w:val="left" w:pos="20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(六)</w:t>
      </w:r>
      <w:r>
        <w:rPr>
          <w:rFonts w:ascii="宋体" w:hAnsi="宋体" w:cs="Arial"/>
          <w:kern w:val="0"/>
          <w:sz w:val="24"/>
        </w:rPr>
        <w:tab/>
      </w:r>
      <w:r>
        <w:rPr>
          <w:rFonts w:ascii="宋体" w:hAnsi="宋体" w:cs="Arial"/>
          <w:kern w:val="0"/>
          <w:sz w:val="24"/>
        </w:rPr>
        <w:t>授权委托书签署日期。</w:t>
      </w:r>
    </w:p>
    <w:p w14:paraId="3558339B">
      <w:pPr>
        <w:autoSpaceDE w:val="0"/>
        <w:autoSpaceDN w:val="0"/>
        <w:adjustRightInd w:val="0"/>
        <w:spacing w:line="324" w:lineRule="auto"/>
        <w:ind w:firstLine="499" w:firstLineChars="208"/>
        <w:rPr>
          <w:rFonts w:ascii="宋体" w:hAnsi="宋体" w:cs="Arial"/>
          <w:kern w:val="0"/>
          <w:sz w:val="24"/>
        </w:rPr>
      </w:pPr>
    </w:p>
    <w:p w14:paraId="446A5D1C">
      <w:pPr>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授权委托书应由委托人和被委托人签名。</w:t>
      </w:r>
    </w:p>
    <w:p w14:paraId="37D95F8B">
      <w:pPr>
        <w:autoSpaceDE w:val="0"/>
        <w:autoSpaceDN w:val="0"/>
        <w:adjustRightInd w:val="0"/>
        <w:spacing w:line="324" w:lineRule="auto"/>
        <w:ind w:firstLine="499" w:firstLineChars="208"/>
        <w:rPr>
          <w:rFonts w:ascii="宋体" w:hAnsi="宋体" w:cs="Arial"/>
          <w:kern w:val="0"/>
          <w:sz w:val="24"/>
        </w:rPr>
      </w:pPr>
    </w:p>
    <w:p w14:paraId="01453A5D">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提名委员会委员既不亲自出席会议, 亦未委托其他委员代为出席会议的, 视为未出席相关会议。</w:t>
      </w:r>
    </w:p>
    <w:p w14:paraId="7DE7DB44">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提名委员会委员连续两次不出席会议的, 视为不能适当履行其职权, 公司董事会可以撤销其委员职务。</w:t>
      </w:r>
    </w:p>
    <w:p w14:paraId="36899231">
      <w:pPr>
        <w:autoSpaceDE w:val="0"/>
        <w:autoSpaceDN w:val="0"/>
        <w:adjustRightInd w:val="0"/>
        <w:spacing w:line="324" w:lineRule="auto"/>
        <w:ind w:firstLine="499" w:firstLineChars="208"/>
        <w:rPr>
          <w:rFonts w:ascii="宋体" w:hAnsi="宋体" w:cs="Arial"/>
          <w:kern w:val="0"/>
          <w:sz w:val="24"/>
        </w:rPr>
      </w:pPr>
    </w:p>
    <w:p w14:paraId="43C5A538">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提名委员会所作决议应经全体委员(包括未出席会议的委员)过半数通过方为有效。</w:t>
      </w:r>
    </w:p>
    <w:p w14:paraId="0AB53F6E">
      <w:pPr>
        <w:autoSpaceDE w:val="0"/>
        <w:autoSpaceDN w:val="0"/>
        <w:adjustRightInd w:val="0"/>
        <w:spacing w:line="324" w:lineRule="auto"/>
        <w:ind w:firstLine="499" w:firstLineChars="208"/>
        <w:rPr>
          <w:rFonts w:ascii="宋体" w:hAnsi="宋体" w:cs="Arial"/>
          <w:kern w:val="0"/>
          <w:sz w:val="24"/>
        </w:rPr>
      </w:pPr>
    </w:p>
    <w:p w14:paraId="417EAAF3">
      <w:pPr>
        <w:autoSpaceDE w:val="0"/>
        <w:autoSpaceDN w:val="0"/>
        <w:adjustRightInd w:val="0"/>
        <w:spacing w:line="324" w:lineRule="auto"/>
        <w:ind w:left="1472" w:leftChars="686" w:hanging="31" w:hangingChars="13"/>
        <w:rPr>
          <w:rFonts w:ascii="宋体" w:hAnsi="宋体" w:cs="Arial"/>
          <w:kern w:val="0"/>
          <w:sz w:val="24"/>
        </w:rPr>
      </w:pPr>
      <w:r>
        <w:rPr>
          <w:rFonts w:ascii="宋体" w:hAnsi="宋体" w:cs="Arial"/>
          <w:kern w:val="0"/>
          <w:sz w:val="24"/>
        </w:rPr>
        <w:t>提名委员会委员每人享有一票表决权。</w:t>
      </w:r>
    </w:p>
    <w:p w14:paraId="3586A9B4">
      <w:pPr>
        <w:autoSpaceDE w:val="0"/>
        <w:autoSpaceDN w:val="0"/>
        <w:adjustRightInd w:val="0"/>
        <w:spacing w:line="324" w:lineRule="auto"/>
        <w:ind w:firstLine="499" w:firstLineChars="208"/>
        <w:rPr>
          <w:rFonts w:ascii="宋体" w:hAnsi="宋体" w:cs="Arial"/>
          <w:kern w:val="0"/>
          <w:sz w:val="24"/>
        </w:rPr>
      </w:pPr>
    </w:p>
    <w:p w14:paraId="7F57669F">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提名委员会会议主持人宣布会议开始后, 即开始按顺序对每项会议议题所对应的议案内容进行审议。</w:t>
      </w:r>
    </w:p>
    <w:p w14:paraId="787C9ADC">
      <w:pPr>
        <w:autoSpaceDE w:val="0"/>
        <w:autoSpaceDN w:val="0"/>
        <w:adjustRightInd w:val="0"/>
        <w:spacing w:line="324" w:lineRule="auto"/>
        <w:ind w:firstLine="499" w:firstLineChars="208"/>
        <w:rPr>
          <w:rFonts w:ascii="宋体" w:hAnsi="宋体" w:cs="Arial"/>
          <w:kern w:val="0"/>
          <w:sz w:val="24"/>
        </w:rPr>
      </w:pPr>
    </w:p>
    <w:p w14:paraId="07B47675">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提名委员会审议会议议题可采用自由发言的形式进行讨论, 但应注意保持会议秩序。发言者不得使用带有人身攻击性质或其他侮辱性、威胁性语言。</w:t>
      </w:r>
    </w:p>
    <w:p w14:paraId="194C4D3E">
      <w:pPr>
        <w:autoSpaceDE w:val="0"/>
        <w:autoSpaceDN w:val="0"/>
        <w:adjustRightInd w:val="0"/>
        <w:spacing w:line="324" w:lineRule="auto"/>
        <w:ind w:firstLine="499" w:firstLineChars="208"/>
        <w:rPr>
          <w:rFonts w:ascii="宋体" w:hAnsi="宋体" w:cs="Arial"/>
          <w:kern w:val="0"/>
          <w:sz w:val="24"/>
        </w:rPr>
      </w:pPr>
    </w:p>
    <w:p w14:paraId="716099E5">
      <w:pPr>
        <w:autoSpaceDE w:val="0"/>
        <w:autoSpaceDN w:val="0"/>
        <w:adjustRightInd w:val="0"/>
        <w:spacing w:line="324" w:lineRule="auto"/>
        <w:ind w:left="1438" w:leftChars="685"/>
        <w:rPr>
          <w:rFonts w:ascii="宋体" w:hAnsi="宋体" w:cs="Arial"/>
          <w:kern w:val="0"/>
          <w:sz w:val="24"/>
        </w:rPr>
      </w:pPr>
      <w:r>
        <w:rPr>
          <w:rFonts w:ascii="宋体" w:hAnsi="宋体" w:cs="Arial"/>
          <w:kern w:val="0"/>
          <w:sz w:val="24"/>
        </w:rPr>
        <w:t>会议主持人有权决定讨论时间。</w:t>
      </w:r>
    </w:p>
    <w:p w14:paraId="1D62C8FA">
      <w:pPr>
        <w:autoSpaceDE w:val="0"/>
        <w:autoSpaceDN w:val="0"/>
        <w:adjustRightInd w:val="0"/>
        <w:spacing w:line="324" w:lineRule="auto"/>
        <w:ind w:firstLine="499" w:firstLineChars="208"/>
        <w:rPr>
          <w:rFonts w:ascii="宋体" w:hAnsi="宋体" w:cs="Arial"/>
          <w:kern w:val="0"/>
          <w:sz w:val="24"/>
        </w:rPr>
      </w:pPr>
    </w:p>
    <w:p w14:paraId="4E028E36">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提名委员会会议对所议事项采取集中审议、依次表决的规则, 即全部议案经所有与会委员审议完毕后, 依照议案审议顺序对议案进行逐项表决。</w:t>
      </w:r>
    </w:p>
    <w:p w14:paraId="03AD9B19">
      <w:pPr>
        <w:autoSpaceDE w:val="0"/>
        <w:autoSpaceDN w:val="0"/>
        <w:adjustRightInd w:val="0"/>
        <w:spacing w:line="324" w:lineRule="auto"/>
        <w:ind w:firstLine="499" w:firstLineChars="208"/>
        <w:rPr>
          <w:rFonts w:ascii="宋体" w:hAnsi="宋体" w:cs="Arial"/>
          <w:kern w:val="0"/>
          <w:sz w:val="24"/>
        </w:rPr>
      </w:pPr>
    </w:p>
    <w:p w14:paraId="6703E936">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提名委员会如认为必要, 可以召集与会议议案有关的其他人员列席会议介绍情况或发表意见, 但非提名委员会委员对议案没有表决权。</w:t>
      </w:r>
    </w:p>
    <w:p w14:paraId="3DC6BDDE">
      <w:pPr>
        <w:autoSpaceDE w:val="0"/>
        <w:autoSpaceDN w:val="0"/>
        <w:adjustRightInd w:val="0"/>
        <w:spacing w:line="324" w:lineRule="auto"/>
        <w:ind w:firstLine="499" w:firstLineChars="208"/>
        <w:rPr>
          <w:rFonts w:ascii="宋体" w:hAnsi="宋体" w:cs="Arial"/>
          <w:kern w:val="0"/>
          <w:sz w:val="24"/>
        </w:rPr>
      </w:pPr>
    </w:p>
    <w:p w14:paraId="1425C6DB">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出席会议的委员应本着认真负责的态度, 对议案进行审议并充分表达个人意见; 委员对其个人的投票表决承担责任。</w:t>
      </w:r>
    </w:p>
    <w:p w14:paraId="3E9BDC07">
      <w:pPr>
        <w:autoSpaceDE w:val="0"/>
        <w:autoSpaceDN w:val="0"/>
        <w:adjustRightInd w:val="0"/>
        <w:spacing w:line="324" w:lineRule="auto"/>
        <w:ind w:firstLine="499" w:firstLineChars="208"/>
        <w:rPr>
          <w:rFonts w:ascii="宋体" w:hAnsi="宋体" w:cs="Arial"/>
          <w:kern w:val="0"/>
          <w:sz w:val="24"/>
        </w:rPr>
      </w:pPr>
    </w:p>
    <w:p w14:paraId="643F6277">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提名委员会定期会议和临时会议的表决方式均为举手表决, 表决的顺序依次为同意、反对、弃权。对同一议案, 每名参会委员只能举手表决一次, 举手多次的, 以最后一次举手为准。如某位委员同时代理其他委员出席会议, 若被代理人与其自身对议案的表决意见一致, 则其举手表决一次, 但视为两票; 若被代理人与其自身对议案的表决意见不一致, 则其可按自身的意见和被代理人的意见分别举手表决一次; 代理出席者在表决时若无特别说明, 视为与被代理人表决意见一致。</w:t>
      </w:r>
    </w:p>
    <w:p w14:paraId="4E1E8BF9">
      <w:pPr>
        <w:autoSpaceDE w:val="0"/>
        <w:autoSpaceDN w:val="0"/>
        <w:adjustRightInd w:val="0"/>
        <w:spacing w:line="324" w:lineRule="auto"/>
        <w:rPr>
          <w:rFonts w:ascii="宋体" w:hAnsi="宋体" w:cs="Arial"/>
          <w:kern w:val="0"/>
          <w:sz w:val="24"/>
        </w:rPr>
      </w:pPr>
    </w:p>
    <w:p w14:paraId="1B6F006C">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如提名委员会会议以传真方式作出会议决议时, 表决方式为签字方式。</w:t>
      </w:r>
    </w:p>
    <w:p w14:paraId="3146473F">
      <w:pPr>
        <w:autoSpaceDE w:val="0"/>
        <w:autoSpaceDN w:val="0"/>
        <w:adjustRightInd w:val="0"/>
        <w:spacing w:line="324" w:lineRule="auto"/>
        <w:ind w:left="1470" w:leftChars="700"/>
        <w:rPr>
          <w:rFonts w:ascii="宋体" w:hAnsi="宋体" w:cs="Arial"/>
          <w:kern w:val="0"/>
          <w:sz w:val="24"/>
        </w:rPr>
      </w:pPr>
    </w:p>
    <w:p w14:paraId="5D0BA300">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会议主持人应对每项议案的表决结果进行统计并当场公布, 由会议记录人将表决结果记录在案。</w:t>
      </w:r>
    </w:p>
    <w:p w14:paraId="66D5E75C">
      <w:pPr>
        <w:autoSpaceDE w:val="0"/>
        <w:autoSpaceDN w:val="0"/>
        <w:adjustRightInd w:val="0"/>
        <w:spacing w:line="324" w:lineRule="auto"/>
        <w:ind w:firstLine="499" w:firstLineChars="208"/>
        <w:rPr>
          <w:rFonts w:ascii="宋体" w:hAnsi="宋体" w:cs="Arial"/>
          <w:kern w:val="0"/>
          <w:sz w:val="24"/>
        </w:rPr>
      </w:pPr>
    </w:p>
    <w:p w14:paraId="06465CA2">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第六章 会议决议和会议记录</w:t>
      </w:r>
    </w:p>
    <w:p w14:paraId="5F626BB2">
      <w:pPr>
        <w:autoSpaceDE w:val="0"/>
        <w:autoSpaceDN w:val="0"/>
        <w:adjustRightInd w:val="0"/>
        <w:spacing w:line="324" w:lineRule="auto"/>
        <w:rPr>
          <w:rFonts w:ascii="宋体" w:hAnsi="宋体" w:cs="Arial"/>
          <w:b/>
          <w:kern w:val="0"/>
          <w:sz w:val="24"/>
        </w:rPr>
      </w:pPr>
    </w:p>
    <w:p w14:paraId="6340EF9E">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每项议案获得规定的有效表决票数后, 经会议主持人宣布即形成提名委员会决议。</w:t>
      </w:r>
    </w:p>
    <w:p w14:paraId="4C383CB3">
      <w:pPr>
        <w:autoSpaceDE w:val="0"/>
        <w:autoSpaceDN w:val="0"/>
        <w:adjustRightInd w:val="0"/>
        <w:spacing w:line="324" w:lineRule="auto"/>
        <w:ind w:firstLine="499" w:firstLineChars="208"/>
        <w:rPr>
          <w:rFonts w:ascii="宋体" w:hAnsi="宋体" w:cs="Arial"/>
          <w:kern w:val="0"/>
          <w:sz w:val="24"/>
        </w:rPr>
      </w:pPr>
    </w:p>
    <w:p w14:paraId="6ECE3A0F">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提名委员会决议经出席会议委员签字后生效, 未依据法律、法规、《公司章程》及本工作细则规定的合法程序, 不得对已生效的提名委员会决议作任何修改或变更。</w:t>
      </w:r>
    </w:p>
    <w:p w14:paraId="2E367AF3">
      <w:pPr>
        <w:autoSpaceDE w:val="0"/>
        <w:autoSpaceDN w:val="0"/>
        <w:adjustRightInd w:val="0"/>
        <w:spacing w:line="324" w:lineRule="auto"/>
        <w:ind w:firstLine="499" w:firstLineChars="208"/>
        <w:rPr>
          <w:rFonts w:ascii="宋体" w:hAnsi="宋体" w:cs="Arial"/>
          <w:kern w:val="0"/>
          <w:sz w:val="24"/>
        </w:rPr>
      </w:pPr>
    </w:p>
    <w:p w14:paraId="2BA42D7C">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提名委员会委员或其指定的公司董事会办公室工作人员应至迟于会议决议之次日, 将会议决议有关情况向公司董事会通报。</w:t>
      </w:r>
    </w:p>
    <w:p w14:paraId="71D2AEF0">
      <w:pPr>
        <w:autoSpaceDE w:val="0"/>
        <w:autoSpaceDN w:val="0"/>
        <w:adjustRightInd w:val="0"/>
        <w:spacing w:line="324" w:lineRule="auto"/>
        <w:ind w:firstLine="499" w:firstLineChars="208"/>
        <w:rPr>
          <w:rFonts w:ascii="宋体" w:hAnsi="宋体" w:cs="Arial"/>
          <w:kern w:val="0"/>
          <w:sz w:val="24"/>
        </w:rPr>
      </w:pPr>
    </w:p>
    <w:p w14:paraId="0B4F6D22">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提名委员会决议的书面文件作为公司档案由公司董事会办公室保存, 在公司存续期间, 保存期不得少于十年。</w:t>
      </w:r>
    </w:p>
    <w:p w14:paraId="0785525E">
      <w:pPr>
        <w:autoSpaceDE w:val="0"/>
        <w:autoSpaceDN w:val="0"/>
        <w:adjustRightInd w:val="0"/>
        <w:spacing w:line="324" w:lineRule="auto"/>
        <w:ind w:firstLine="499" w:firstLineChars="208"/>
        <w:rPr>
          <w:rFonts w:ascii="宋体" w:hAnsi="宋体" w:cs="Arial"/>
          <w:kern w:val="0"/>
          <w:sz w:val="24"/>
        </w:rPr>
      </w:pPr>
    </w:p>
    <w:p w14:paraId="5B8A9676">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提名委员会决议违反法律、法规或者《公司章程》, 致使公司遭受严重损失时, 参与决议的委员对公司负连带赔偿责任。但经证明在表决时曾表明异议并记载于会议记录的, 该委员可以免除责任。</w:t>
      </w:r>
    </w:p>
    <w:p w14:paraId="49573019">
      <w:pPr>
        <w:autoSpaceDE w:val="0"/>
        <w:autoSpaceDN w:val="0"/>
        <w:adjustRightInd w:val="0"/>
        <w:spacing w:line="324" w:lineRule="auto"/>
        <w:ind w:firstLine="499" w:firstLineChars="208"/>
        <w:rPr>
          <w:rFonts w:ascii="宋体" w:hAnsi="宋体" w:cs="Arial"/>
          <w:kern w:val="0"/>
          <w:sz w:val="24"/>
        </w:rPr>
      </w:pPr>
    </w:p>
    <w:p w14:paraId="69A7DF2D">
      <w:pPr>
        <w:numPr>
          <w:ilvl w:val="0"/>
          <w:numId w:val="1"/>
        </w:numPr>
        <w:tabs>
          <w:tab w:val="left" w:pos="147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提名委员会会议应当有书面记录, 记录人员为公司董事会办公室的工作人员。出席会议的委员和会议记录人应当在会议记录上签名。出席会议的委员有权要求在记录上对其在会议上的发言作出说明性记载。</w:t>
      </w:r>
    </w:p>
    <w:p w14:paraId="49593D3A">
      <w:pPr>
        <w:autoSpaceDE w:val="0"/>
        <w:autoSpaceDN w:val="0"/>
        <w:adjustRightInd w:val="0"/>
        <w:spacing w:line="324" w:lineRule="auto"/>
        <w:ind w:firstLine="499" w:firstLineChars="208"/>
        <w:rPr>
          <w:rFonts w:ascii="宋体" w:hAnsi="宋体" w:cs="Arial"/>
          <w:kern w:val="0"/>
          <w:sz w:val="24"/>
        </w:rPr>
      </w:pPr>
    </w:p>
    <w:p w14:paraId="73064FF5">
      <w:pPr>
        <w:autoSpaceDE w:val="0"/>
        <w:autoSpaceDN w:val="0"/>
        <w:adjustRightInd w:val="0"/>
        <w:spacing w:line="324" w:lineRule="auto"/>
        <w:ind w:left="1470" w:leftChars="700"/>
        <w:rPr>
          <w:rFonts w:ascii="宋体" w:hAnsi="宋体" w:cs="Arial"/>
          <w:kern w:val="0"/>
          <w:sz w:val="24"/>
        </w:rPr>
      </w:pPr>
      <w:r>
        <w:rPr>
          <w:rFonts w:ascii="宋体" w:hAnsi="宋体" w:cs="Arial"/>
          <w:kern w:val="0"/>
          <w:sz w:val="24"/>
        </w:rPr>
        <w:t>提名委员会会议记录作为公司档案由公司董事会办公室保存。在公司存续期间, 保存期不得少于十年。</w:t>
      </w:r>
    </w:p>
    <w:p w14:paraId="605014EF">
      <w:pPr>
        <w:numPr>
          <w:ilvl w:val="0"/>
          <w:numId w:val="1"/>
        </w:numPr>
        <w:tabs>
          <w:tab w:val="left" w:pos="1456"/>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 xml:space="preserve">提名委员会会议记录应至少包括以下内容: </w:t>
      </w:r>
    </w:p>
    <w:p w14:paraId="3F52B2B9">
      <w:pPr>
        <w:tabs>
          <w:tab w:val="left" w:pos="21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(一)</w:t>
      </w:r>
      <w:r>
        <w:rPr>
          <w:rFonts w:ascii="宋体" w:hAnsi="宋体" w:cs="Arial"/>
          <w:kern w:val="0"/>
          <w:sz w:val="24"/>
        </w:rPr>
        <w:tab/>
      </w:r>
      <w:r>
        <w:rPr>
          <w:rFonts w:ascii="宋体" w:hAnsi="宋体" w:cs="Arial"/>
          <w:kern w:val="0"/>
          <w:sz w:val="24"/>
        </w:rPr>
        <w:t xml:space="preserve">会议召开的日期、地点和召集人姓名; </w:t>
      </w:r>
    </w:p>
    <w:p w14:paraId="6403B465">
      <w:pPr>
        <w:tabs>
          <w:tab w:val="left" w:pos="21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(二)</w:t>
      </w:r>
      <w:r>
        <w:rPr>
          <w:rFonts w:ascii="宋体" w:hAnsi="宋体" w:cs="Arial"/>
          <w:kern w:val="0"/>
          <w:sz w:val="24"/>
        </w:rPr>
        <w:tab/>
      </w:r>
      <w:r>
        <w:rPr>
          <w:rFonts w:ascii="宋体" w:hAnsi="宋体" w:cs="Arial"/>
          <w:kern w:val="0"/>
          <w:sz w:val="24"/>
        </w:rPr>
        <w:t xml:space="preserve">出席会议人员的姓名, 受他人委托出席会议的应特别注明; </w:t>
      </w:r>
    </w:p>
    <w:p w14:paraId="6611EFE5">
      <w:pPr>
        <w:tabs>
          <w:tab w:val="left" w:pos="21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(三)</w:t>
      </w:r>
      <w:r>
        <w:rPr>
          <w:rFonts w:ascii="宋体" w:hAnsi="宋体" w:cs="Arial"/>
          <w:kern w:val="0"/>
          <w:sz w:val="24"/>
        </w:rPr>
        <w:tab/>
      </w:r>
      <w:r>
        <w:rPr>
          <w:rFonts w:ascii="宋体" w:hAnsi="宋体" w:cs="Arial"/>
          <w:kern w:val="0"/>
          <w:sz w:val="24"/>
        </w:rPr>
        <w:t xml:space="preserve">会议议程; </w:t>
      </w:r>
    </w:p>
    <w:p w14:paraId="50AA87E8">
      <w:pPr>
        <w:numPr>
          <w:ilvl w:val="0"/>
          <w:numId w:val="4"/>
        </w:numPr>
        <w:autoSpaceDE w:val="0"/>
        <w:autoSpaceDN w:val="0"/>
        <w:adjustRightInd w:val="0"/>
        <w:spacing w:line="324" w:lineRule="auto"/>
        <w:rPr>
          <w:rFonts w:hint="eastAsia" w:ascii="宋体" w:hAnsi="宋体" w:cs="Arial"/>
          <w:kern w:val="0"/>
          <w:sz w:val="24"/>
        </w:rPr>
      </w:pPr>
      <w:r>
        <w:rPr>
          <w:rFonts w:ascii="宋体" w:hAnsi="宋体" w:cs="Arial"/>
          <w:kern w:val="0"/>
          <w:sz w:val="24"/>
        </w:rPr>
        <w:t xml:space="preserve">委员发言要点; </w:t>
      </w:r>
    </w:p>
    <w:p w14:paraId="7C1B515A">
      <w:pPr>
        <w:numPr>
          <w:ilvl w:val="0"/>
          <w:numId w:val="4"/>
        </w:numPr>
        <w:autoSpaceDE w:val="0"/>
        <w:autoSpaceDN w:val="0"/>
        <w:adjustRightInd w:val="0"/>
        <w:spacing w:line="324" w:lineRule="auto"/>
        <w:rPr>
          <w:rFonts w:ascii="宋体" w:hAnsi="宋体" w:cs="Arial"/>
          <w:kern w:val="0"/>
          <w:sz w:val="24"/>
        </w:rPr>
      </w:pPr>
      <w:r>
        <w:rPr>
          <w:rFonts w:ascii="宋体" w:hAnsi="宋体" w:cs="Arial"/>
          <w:kern w:val="0"/>
          <w:sz w:val="24"/>
        </w:rPr>
        <w:t xml:space="preserve">每一决议事项或议案的表决方式和结果(表决结果应载明赞成、反对或弃权的票数); </w:t>
      </w:r>
    </w:p>
    <w:p w14:paraId="32F83A38">
      <w:pPr>
        <w:tabs>
          <w:tab w:val="left" w:pos="2100"/>
        </w:tabs>
        <w:autoSpaceDE w:val="0"/>
        <w:autoSpaceDN w:val="0"/>
        <w:adjustRightInd w:val="0"/>
        <w:spacing w:line="324" w:lineRule="auto"/>
        <w:ind w:firstLine="1459" w:firstLineChars="608"/>
        <w:rPr>
          <w:rFonts w:ascii="宋体" w:hAnsi="宋体" w:cs="Arial"/>
          <w:kern w:val="0"/>
          <w:sz w:val="24"/>
        </w:rPr>
      </w:pPr>
      <w:r>
        <w:rPr>
          <w:rFonts w:ascii="宋体" w:hAnsi="宋体" w:cs="Arial"/>
          <w:kern w:val="0"/>
          <w:sz w:val="24"/>
        </w:rPr>
        <w:t>(六)</w:t>
      </w:r>
      <w:r>
        <w:rPr>
          <w:rFonts w:ascii="宋体" w:hAnsi="宋体" w:cs="Arial"/>
          <w:kern w:val="0"/>
          <w:sz w:val="24"/>
        </w:rPr>
        <w:tab/>
      </w:r>
      <w:r>
        <w:rPr>
          <w:rFonts w:ascii="宋体" w:hAnsi="宋体" w:cs="Arial"/>
          <w:kern w:val="0"/>
          <w:sz w:val="24"/>
        </w:rPr>
        <w:t>其他应当在会议记录中说明和记载的事项。</w:t>
      </w:r>
    </w:p>
    <w:p w14:paraId="5B2A3FC0">
      <w:pPr>
        <w:autoSpaceDE w:val="0"/>
        <w:autoSpaceDN w:val="0"/>
        <w:adjustRightInd w:val="0"/>
        <w:spacing w:line="324" w:lineRule="auto"/>
        <w:ind w:firstLine="499" w:firstLineChars="208"/>
        <w:rPr>
          <w:rFonts w:ascii="宋体" w:hAnsi="宋体" w:cs="Arial"/>
          <w:kern w:val="0"/>
          <w:sz w:val="24"/>
        </w:rPr>
      </w:pPr>
    </w:p>
    <w:p w14:paraId="6BF5DC7E">
      <w:pPr>
        <w:autoSpaceDE w:val="0"/>
        <w:autoSpaceDN w:val="0"/>
        <w:adjustRightInd w:val="0"/>
        <w:spacing w:line="324" w:lineRule="auto"/>
        <w:jc w:val="center"/>
        <w:rPr>
          <w:rFonts w:ascii="宋体" w:hAnsi="宋体" w:cs="Arial"/>
          <w:b/>
          <w:kern w:val="0"/>
          <w:sz w:val="24"/>
        </w:rPr>
      </w:pPr>
      <w:r>
        <w:rPr>
          <w:rFonts w:ascii="宋体" w:hAnsi="宋体" w:cs="Arial"/>
          <w:b/>
          <w:kern w:val="0"/>
          <w:sz w:val="24"/>
        </w:rPr>
        <w:t>第七章 附则</w:t>
      </w:r>
    </w:p>
    <w:p w14:paraId="28F286D3">
      <w:pPr>
        <w:autoSpaceDE w:val="0"/>
        <w:autoSpaceDN w:val="0"/>
        <w:adjustRightInd w:val="0"/>
        <w:spacing w:line="324" w:lineRule="auto"/>
        <w:rPr>
          <w:rFonts w:ascii="宋体" w:hAnsi="宋体" w:cs="Arial"/>
          <w:b/>
          <w:kern w:val="0"/>
          <w:sz w:val="24"/>
        </w:rPr>
      </w:pPr>
    </w:p>
    <w:p w14:paraId="4FA63634">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除非另有规定, 本工作细则所称“以上”、“以下”等均包含本数。</w:t>
      </w:r>
    </w:p>
    <w:p w14:paraId="48422B88">
      <w:pPr>
        <w:tabs>
          <w:tab w:val="left" w:pos="1400"/>
        </w:tabs>
        <w:autoSpaceDE w:val="0"/>
        <w:autoSpaceDN w:val="0"/>
        <w:adjustRightInd w:val="0"/>
        <w:spacing w:line="324" w:lineRule="auto"/>
        <w:rPr>
          <w:rFonts w:ascii="宋体" w:hAnsi="宋体" w:cs="Arial"/>
          <w:kern w:val="0"/>
          <w:sz w:val="24"/>
        </w:rPr>
      </w:pPr>
    </w:p>
    <w:p w14:paraId="40724DFA">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本工作细则未尽事宜, 依照国家法律、法规、</w:t>
      </w:r>
      <w:r>
        <w:rPr>
          <w:rFonts w:hint="eastAsia" w:ascii="宋体" w:hAnsi="宋体" w:cs="Arial"/>
          <w:kern w:val="0"/>
          <w:sz w:val="24"/>
        </w:rPr>
        <w:t>规范性文件及</w:t>
      </w:r>
      <w:r>
        <w:rPr>
          <w:rFonts w:ascii="宋体" w:hAnsi="宋体" w:cs="Arial"/>
          <w:kern w:val="0"/>
          <w:sz w:val="24"/>
        </w:rPr>
        <w:t>《公司章程》的有关规定执行。</w:t>
      </w:r>
    </w:p>
    <w:p w14:paraId="4D5EFA6D">
      <w:pPr>
        <w:tabs>
          <w:tab w:val="left" w:pos="1400"/>
        </w:tabs>
        <w:autoSpaceDE w:val="0"/>
        <w:autoSpaceDN w:val="0"/>
        <w:adjustRightInd w:val="0"/>
        <w:spacing w:line="324" w:lineRule="auto"/>
        <w:rPr>
          <w:rFonts w:ascii="宋体" w:hAnsi="宋体" w:cs="Arial"/>
          <w:kern w:val="0"/>
          <w:sz w:val="24"/>
        </w:rPr>
      </w:pPr>
    </w:p>
    <w:p w14:paraId="1D8CB7B8">
      <w:pPr>
        <w:tabs>
          <w:tab w:val="left" w:pos="1400"/>
        </w:tabs>
        <w:autoSpaceDE w:val="0"/>
        <w:autoSpaceDN w:val="0"/>
        <w:adjustRightInd w:val="0"/>
        <w:spacing w:line="324" w:lineRule="auto"/>
        <w:ind w:left="1380"/>
        <w:rPr>
          <w:rFonts w:ascii="宋体" w:hAnsi="宋体" w:cs="Arial"/>
          <w:kern w:val="0"/>
          <w:sz w:val="24"/>
        </w:rPr>
      </w:pPr>
      <w:r>
        <w:rPr>
          <w:rFonts w:ascii="宋体" w:hAnsi="宋体" w:cs="Arial"/>
          <w:kern w:val="0"/>
          <w:sz w:val="24"/>
        </w:rPr>
        <w:t>本工作细则与</w:t>
      </w:r>
      <w:r>
        <w:rPr>
          <w:rFonts w:hint="eastAsia" w:ascii="宋体" w:hAnsi="宋体" w:cs="Arial"/>
          <w:kern w:val="0"/>
          <w:sz w:val="24"/>
        </w:rPr>
        <w:t>国家</w:t>
      </w:r>
      <w:r>
        <w:rPr>
          <w:rFonts w:ascii="宋体" w:hAnsi="宋体" w:cs="Arial"/>
          <w:kern w:val="0"/>
          <w:sz w:val="24"/>
        </w:rPr>
        <w:t>法律、法规、</w:t>
      </w:r>
      <w:r>
        <w:rPr>
          <w:rFonts w:hint="eastAsia" w:ascii="宋体" w:hAnsi="宋体" w:cs="Arial"/>
          <w:kern w:val="0"/>
          <w:sz w:val="24"/>
        </w:rPr>
        <w:t>规范性文件及</w:t>
      </w:r>
      <w:r>
        <w:rPr>
          <w:rFonts w:ascii="宋体" w:hAnsi="宋体" w:cs="Arial"/>
          <w:kern w:val="0"/>
          <w:sz w:val="24"/>
        </w:rPr>
        <w:t>《公司章程》的规定如发生矛盾, 以</w:t>
      </w:r>
      <w:r>
        <w:rPr>
          <w:rFonts w:hint="eastAsia" w:ascii="宋体" w:hAnsi="宋体" w:cs="Arial"/>
          <w:kern w:val="0"/>
          <w:sz w:val="24"/>
        </w:rPr>
        <w:t>相关</w:t>
      </w:r>
      <w:r>
        <w:rPr>
          <w:rFonts w:ascii="宋体" w:hAnsi="宋体" w:cs="Arial"/>
          <w:kern w:val="0"/>
          <w:sz w:val="24"/>
        </w:rPr>
        <w:t>法律、法规、</w:t>
      </w:r>
      <w:r>
        <w:rPr>
          <w:rFonts w:hint="eastAsia" w:ascii="宋体" w:hAnsi="宋体" w:cs="Arial"/>
          <w:kern w:val="0"/>
          <w:sz w:val="24"/>
        </w:rPr>
        <w:t>规范性文件及</w:t>
      </w:r>
      <w:r>
        <w:rPr>
          <w:rFonts w:ascii="宋体" w:hAnsi="宋体" w:cs="Arial"/>
          <w:kern w:val="0"/>
          <w:sz w:val="24"/>
        </w:rPr>
        <w:t>《公司章程》的规定为准。</w:t>
      </w:r>
    </w:p>
    <w:p w14:paraId="4A7EBC75">
      <w:pPr>
        <w:tabs>
          <w:tab w:val="left" w:pos="1400"/>
        </w:tabs>
        <w:autoSpaceDE w:val="0"/>
        <w:autoSpaceDN w:val="0"/>
        <w:adjustRightInd w:val="0"/>
        <w:spacing w:line="324" w:lineRule="auto"/>
        <w:rPr>
          <w:rFonts w:ascii="宋体" w:hAnsi="宋体" w:cs="Arial"/>
          <w:kern w:val="0"/>
          <w:sz w:val="24"/>
        </w:rPr>
      </w:pPr>
    </w:p>
    <w:p w14:paraId="33EB9BBF">
      <w:pPr>
        <w:numPr>
          <w:ilvl w:val="0"/>
          <w:numId w:val="1"/>
        </w:numPr>
        <w:tabs>
          <w:tab w:val="left" w:pos="1400"/>
          <w:tab w:val="clear" w:pos="1610"/>
        </w:tabs>
        <w:autoSpaceDE w:val="0"/>
        <w:autoSpaceDN w:val="0"/>
        <w:adjustRightInd w:val="0"/>
        <w:spacing w:line="324" w:lineRule="auto"/>
        <w:ind w:left="1459" w:hanging="1459" w:hangingChars="608"/>
        <w:rPr>
          <w:rFonts w:ascii="宋体" w:hAnsi="宋体" w:cs="Arial"/>
          <w:kern w:val="0"/>
          <w:sz w:val="24"/>
        </w:rPr>
      </w:pPr>
      <w:r>
        <w:rPr>
          <w:rFonts w:ascii="宋体" w:hAnsi="宋体" w:cs="Arial"/>
          <w:kern w:val="0"/>
          <w:sz w:val="24"/>
        </w:rPr>
        <w:t>本工作细则自公司董事会审议通过之日起生效执行。</w:t>
      </w:r>
    </w:p>
    <w:p w14:paraId="7D7370FE">
      <w:pPr>
        <w:tabs>
          <w:tab w:val="left" w:pos="1400"/>
        </w:tabs>
        <w:autoSpaceDE w:val="0"/>
        <w:autoSpaceDN w:val="0"/>
        <w:adjustRightInd w:val="0"/>
        <w:spacing w:line="324" w:lineRule="auto"/>
        <w:rPr>
          <w:rFonts w:ascii="宋体" w:hAnsi="宋体" w:cs="Arial"/>
          <w:kern w:val="0"/>
          <w:sz w:val="24"/>
        </w:rPr>
      </w:pPr>
    </w:p>
    <w:p w14:paraId="4BEECCCC">
      <w:pPr>
        <w:numPr>
          <w:ilvl w:val="0"/>
          <w:numId w:val="1"/>
        </w:numPr>
        <w:tabs>
          <w:tab w:val="left" w:pos="1400"/>
          <w:tab w:val="clear" w:pos="1610"/>
        </w:tabs>
        <w:autoSpaceDE w:val="0"/>
        <w:autoSpaceDN w:val="0"/>
        <w:adjustRightInd w:val="0"/>
        <w:spacing w:line="324" w:lineRule="auto"/>
        <w:ind w:left="1459" w:hanging="1459" w:hangingChars="608"/>
        <w:jc w:val="left"/>
        <w:rPr>
          <w:rFonts w:ascii="宋体" w:hAnsi="宋体" w:cs="Arial"/>
          <w:kern w:val="0"/>
          <w:sz w:val="24"/>
        </w:rPr>
      </w:pPr>
      <w:r>
        <w:rPr>
          <w:rFonts w:ascii="宋体" w:hAnsi="宋体" w:cs="Arial"/>
          <w:kern w:val="0"/>
          <w:sz w:val="24"/>
        </w:rPr>
        <w:t>本工作细则由公司董事会负责解释。</w:t>
      </w:r>
    </w:p>
    <w:sectPr>
      <w:headerReference r:id="rId3" w:type="default"/>
      <w:footerReference r:id="rId4" w:type="default"/>
      <w:pgSz w:w="11906" w:h="16838"/>
      <w:pgMar w:top="1440" w:right="1800" w:bottom="1440" w:left="1800"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D5D8">
    <w:pPr>
      <w:pStyle w:val="3"/>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3</w:t>
    </w:r>
    <w:r>
      <w:fldChar w:fldCharType="end"/>
    </w:r>
    <w:r>
      <w:rPr>
        <w:rFonts w:hint="eastAsia"/>
      </w:rPr>
      <w:t xml:space="preserve"> 页 共 </w:t>
    </w:r>
    <w:r>
      <w:rPr>
        <w:rFonts w:hint="eastAsia"/>
        <w:lang w:val="en-US" w:eastAsia="zh-CN"/>
      </w:rPr>
      <w:t>8</w:t>
    </w:r>
    <w:r>
      <w:rPr>
        <w:rFonts w:hint="eastAsia"/>
      </w:rPr>
      <w:t>页</w:t>
    </w:r>
  </w:p>
  <w:p w14:paraId="1523D42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ACA5">
    <w:pPr>
      <w:pStyle w:val="4"/>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永兴特种材料科技股份有限公司提名委员会工作细则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E64C8"/>
    <w:multiLevelType w:val="multilevel"/>
    <w:tmpl w:val="115E64C8"/>
    <w:lvl w:ilvl="0" w:tentative="0">
      <w:start w:val="1"/>
      <w:numFmt w:val="japaneseCounting"/>
      <w:lvlText w:val="第%1条"/>
      <w:lvlJc w:val="left"/>
      <w:pPr>
        <w:tabs>
          <w:tab w:val="left" w:pos="1610"/>
        </w:tabs>
        <w:ind w:left="1610" w:hanging="1110"/>
      </w:pPr>
      <w:rPr>
        <w:rFonts w:hint="default"/>
      </w:rPr>
    </w:lvl>
    <w:lvl w:ilvl="1" w:tentative="0">
      <w:start w:val="1"/>
      <w:numFmt w:val="bullet"/>
      <w:lvlText w:val=""/>
      <w:lvlJc w:val="left"/>
      <w:pPr>
        <w:tabs>
          <w:tab w:val="left" w:pos="1340"/>
        </w:tabs>
        <w:ind w:left="1340" w:hanging="420"/>
      </w:pPr>
      <w:rPr>
        <w:rFonts w:hint="default" w:ascii="Wingdings" w:hAnsi="Wingdings"/>
      </w:r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abstractNum w:abstractNumId="1">
    <w:nsid w:val="1E2B2112"/>
    <w:multiLevelType w:val="multilevel"/>
    <w:tmpl w:val="1E2B2112"/>
    <w:lvl w:ilvl="0" w:tentative="0">
      <w:start w:val="4"/>
      <w:numFmt w:val="japaneseCounting"/>
      <w:lvlText w:val="(%1)"/>
      <w:lvlJc w:val="left"/>
      <w:pPr>
        <w:tabs>
          <w:tab w:val="left" w:pos="2103"/>
        </w:tabs>
        <w:ind w:left="2103" w:hanging="705"/>
      </w:pPr>
      <w:rPr>
        <w:rFonts w:hint="default"/>
      </w:rPr>
    </w:lvl>
    <w:lvl w:ilvl="1" w:tentative="0">
      <w:start w:val="1"/>
      <w:numFmt w:val="lowerLetter"/>
      <w:lvlText w:val="%2)"/>
      <w:lvlJc w:val="left"/>
      <w:pPr>
        <w:tabs>
          <w:tab w:val="left" w:pos="2238"/>
        </w:tabs>
        <w:ind w:left="2238" w:hanging="420"/>
      </w:pPr>
    </w:lvl>
    <w:lvl w:ilvl="2" w:tentative="0">
      <w:start w:val="1"/>
      <w:numFmt w:val="lowerRoman"/>
      <w:lvlText w:val="%3."/>
      <w:lvlJc w:val="right"/>
      <w:pPr>
        <w:tabs>
          <w:tab w:val="left" w:pos="2658"/>
        </w:tabs>
        <w:ind w:left="2658" w:hanging="420"/>
      </w:pPr>
    </w:lvl>
    <w:lvl w:ilvl="3" w:tentative="0">
      <w:start w:val="1"/>
      <w:numFmt w:val="decimal"/>
      <w:lvlText w:val="%4."/>
      <w:lvlJc w:val="left"/>
      <w:pPr>
        <w:tabs>
          <w:tab w:val="left" w:pos="3078"/>
        </w:tabs>
        <w:ind w:left="3078" w:hanging="420"/>
      </w:pPr>
    </w:lvl>
    <w:lvl w:ilvl="4" w:tentative="0">
      <w:start w:val="1"/>
      <w:numFmt w:val="lowerLetter"/>
      <w:lvlText w:val="%5)"/>
      <w:lvlJc w:val="left"/>
      <w:pPr>
        <w:tabs>
          <w:tab w:val="left" w:pos="3498"/>
        </w:tabs>
        <w:ind w:left="3498" w:hanging="420"/>
      </w:pPr>
    </w:lvl>
    <w:lvl w:ilvl="5" w:tentative="0">
      <w:start w:val="1"/>
      <w:numFmt w:val="lowerRoman"/>
      <w:lvlText w:val="%6."/>
      <w:lvlJc w:val="right"/>
      <w:pPr>
        <w:tabs>
          <w:tab w:val="left" w:pos="3918"/>
        </w:tabs>
        <w:ind w:left="3918" w:hanging="420"/>
      </w:pPr>
    </w:lvl>
    <w:lvl w:ilvl="6" w:tentative="0">
      <w:start w:val="1"/>
      <w:numFmt w:val="decimal"/>
      <w:lvlText w:val="%7."/>
      <w:lvlJc w:val="left"/>
      <w:pPr>
        <w:tabs>
          <w:tab w:val="left" w:pos="4338"/>
        </w:tabs>
        <w:ind w:left="4338" w:hanging="420"/>
      </w:pPr>
    </w:lvl>
    <w:lvl w:ilvl="7" w:tentative="0">
      <w:start w:val="1"/>
      <w:numFmt w:val="lowerLetter"/>
      <w:lvlText w:val="%8)"/>
      <w:lvlJc w:val="left"/>
      <w:pPr>
        <w:tabs>
          <w:tab w:val="left" w:pos="4758"/>
        </w:tabs>
        <w:ind w:left="4758" w:hanging="420"/>
      </w:pPr>
    </w:lvl>
    <w:lvl w:ilvl="8" w:tentative="0">
      <w:start w:val="1"/>
      <w:numFmt w:val="lowerRoman"/>
      <w:lvlText w:val="%9."/>
      <w:lvlJc w:val="right"/>
      <w:pPr>
        <w:tabs>
          <w:tab w:val="left" w:pos="5178"/>
        </w:tabs>
        <w:ind w:left="5178" w:hanging="420"/>
      </w:pPr>
    </w:lvl>
  </w:abstractNum>
  <w:abstractNum w:abstractNumId="2">
    <w:nsid w:val="661037A8"/>
    <w:multiLevelType w:val="multilevel"/>
    <w:tmpl w:val="661037A8"/>
    <w:lvl w:ilvl="0" w:tentative="0">
      <w:start w:val="3"/>
      <w:numFmt w:val="japaneseCounting"/>
      <w:lvlText w:val="(%1)"/>
      <w:lvlJc w:val="left"/>
      <w:pPr>
        <w:tabs>
          <w:tab w:val="left" w:pos="2103"/>
        </w:tabs>
        <w:ind w:left="2103" w:hanging="705"/>
      </w:pPr>
      <w:rPr>
        <w:rFonts w:hint="default"/>
      </w:rPr>
    </w:lvl>
    <w:lvl w:ilvl="1" w:tentative="0">
      <w:start w:val="1"/>
      <w:numFmt w:val="lowerLetter"/>
      <w:lvlText w:val="%2)"/>
      <w:lvlJc w:val="left"/>
      <w:pPr>
        <w:tabs>
          <w:tab w:val="left" w:pos="2238"/>
        </w:tabs>
        <w:ind w:left="2238" w:hanging="420"/>
      </w:pPr>
    </w:lvl>
    <w:lvl w:ilvl="2" w:tentative="0">
      <w:start w:val="1"/>
      <w:numFmt w:val="lowerRoman"/>
      <w:lvlText w:val="%3."/>
      <w:lvlJc w:val="right"/>
      <w:pPr>
        <w:tabs>
          <w:tab w:val="left" w:pos="2658"/>
        </w:tabs>
        <w:ind w:left="2658" w:hanging="420"/>
      </w:pPr>
    </w:lvl>
    <w:lvl w:ilvl="3" w:tentative="0">
      <w:start w:val="1"/>
      <w:numFmt w:val="decimal"/>
      <w:lvlText w:val="%4."/>
      <w:lvlJc w:val="left"/>
      <w:pPr>
        <w:tabs>
          <w:tab w:val="left" w:pos="3078"/>
        </w:tabs>
        <w:ind w:left="3078" w:hanging="420"/>
      </w:pPr>
    </w:lvl>
    <w:lvl w:ilvl="4" w:tentative="0">
      <w:start w:val="1"/>
      <w:numFmt w:val="lowerLetter"/>
      <w:lvlText w:val="%5)"/>
      <w:lvlJc w:val="left"/>
      <w:pPr>
        <w:tabs>
          <w:tab w:val="left" w:pos="3498"/>
        </w:tabs>
        <w:ind w:left="3498" w:hanging="420"/>
      </w:pPr>
    </w:lvl>
    <w:lvl w:ilvl="5" w:tentative="0">
      <w:start w:val="1"/>
      <w:numFmt w:val="lowerRoman"/>
      <w:lvlText w:val="%6."/>
      <w:lvlJc w:val="right"/>
      <w:pPr>
        <w:tabs>
          <w:tab w:val="left" w:pos="3918"/>
        </w:tabs>
        <w:ind w:left="3918" w:hanging="420"/>
      </w:pPr>
    </w:lvl>
    <w:lvl w:ilvl="6" w:tentative="0">
      <w:start w:val="1"/>
      <w:numFmt w:val="decimal"/>
      <w:lvlText w:val="%7."/>
      <w:lvlJc w:val="left"/>
      <w:pPr>
        <w:tabs>
          <w:tab w:val="left" w:pos="4338"/>
        </w:tabs>
        <w:ind w:left="4338" w:hanging="420"/>
      </w:pPr>
    </w:lvl>
    <w:lvl w:ilvl="7" w:tentative="0">
      <w:start w:val="1"/>
      <w:numFmt w:val="lowerLetter"/>
      <w:lvlText w:val="%8)"/>
      <w:lvlJc w:val="left"/>
      <w:pPr>
        <w:tabs>
          <w:tab w:val="left" w:pos="4758"/>
        </w:tabs>
        <w:ind w:left="4758" w:hanging="420"/>
      </w:pPr>
    </w:lvl>
    <w:lvl w:ilvl="8" w:tentative="0">
      <w:start w:val="1"/>
      <w:numFmt w:val="lowerRoman"/>
      <w:lvlText w:val="%9."/>
      <w:lvlJc w:val="right"/>
      <w:pPr>
        <w:tabs>
          <w:tab w:val="left" w:pos="5178"/>
        </w:tabs>
        <w:ind w:left="5178" w:hanging="420"/>
      </w:pPr>
    </w:lvl>
  </w:abstractNum>
  <w:abstractNum w:abstractNumId="3">
    <w:nsid w:val="79127B33"/>
    <w:multiLevelType w:val="multilevel"/>
    <w:tmpl w:val="79127B33"/>
    <w:lvl w:ilvl="0" w:tentative="0">
      <w:start w:val="3"/>
      <w:numFmt w:val="japaneseCounting"/>
      <w:lvlText w:val="(%1)"/>
      <w:lvlJc w:val="left"/>
      <w:pPr>
        <w:tabs>
          <w:tab w:val="left" w:pos="1998"/>
        </w:tabs>
        <w:ind w:left="1998" w:hanging="600"/>
      </w:pPr>
      <w:rPr>
        <w:rFonts w:hint="default"/>
      </w:rPr>
    </w:lvl>
    <w:lvl w:ilvl="1" w:tentative="0">
      <w:start w:val="1"/>
      <w:numFmt w:val="lowerLetter"/>
      <w:lvlText w:val="%2)"/>
      <w:lvlJc w:val="left"/>
      <w:pPr>
        <w:tabs>
          <w:tab w:val="left" w:pos="2238"/>
        </w:tabs>
        <w:ind w:left="2238" w:hanging="420"/>
      </w:pPr>
    </w:lvl>
    <w:lvl w:ilvl="2" w:tentative="0">
      <w:start w:val="1"/>
      <w:numFmt w:val="lowerRoman"/>
      <w:lvlText w:val="%3."/>
      <w:lvlJc w:val="right"/>
      <w:pPr>
        <w:tabs>
          <w:tab w:val="left" w:pos="2658"/>
        </w:tabs>
        <w:ind w:left="2658" w:hanging="420"/>
      </w:pPr>
    </w:lvl>
    <w:lvl w:ilvl="3" w:tentative="0">
      <w:start w:val="1"/>
      <w:numFmt w:val="decimal"/>
      <w:lvlText w:val="%4."/>
      <w:lvlJc w:val="left"/>
      <w:pPr>
        <w:tabs>
          <w:tab w:val="left" w:pos="3078"/>
        </w:tabs>
        <w:ind w:left="3078" w:hanging="420"/>
      </w:pPr>
    </w:lvl>
    <w:lvl w:ilvl="4" w:tentative="0">
      <w:start w:val="1"/>
      <w:numFmt w:val="lowerLetter"/>
      <w:lvlText w:val="%5)"/>
      <w:lvlJc w:val="left"/>
      <w:pPr>
        <w:tabs>
          <w:tab w:val="left" w:pos="3498"/>
        </w:tabs>
        <w:ind w:left="3498" w:hanging="420"/>
      </w:pPr>
    </w:lvl>
    <w:lvl w:ilvl="5" w:tentative="0">
      <w:start w:val="1"/>
      <w:numFmt w:val="lowerRoman"/>
      <w:lvlText w:val="%6."/>
      <w:lvlJc w:val="right"/>
      <w:pPr>
        <w:tabs>
          <w:tab w:val="left" w:pos="3918"/>
        </w:tabs>
        <w:ind w:left="3918" w:hanging="420"/>
      </w:pPr>
    </w:lvl>
    <w:lvl w:ilvl="6" w:tentative="0">
      <w:start w:val="1"/>
      <w:numFmt w:val="decimal"/>
      <w:lvlText w:val="%7."/>
      <w:lvlJc w:val="left"/>
      <w:pPr>
        <w:tabs>
          <w:tab w:val="left" w:pos="4338"/>
        </w:tabs>
        <w:ind w:left="4338" w:hanging="420"/>
      </w:pPr>
    </w:lvl>
    <w:lvl w:ilvl="7" w:tentative="0">
      <w:start w:val="1"/>
      <w:numFmt w:val="lowerLetter"/>
      <w:lvlText w:val="%8)"/>
      <w:lvlJc w:val="left"/>
      <w:pPr>
        <w:tabs>
          <w:tab w:val="left" w:pos="4758"/>
        </w:tabs>
        <w:ind w:left="4758" w:hanging="420"/>
      </w:pPr>
    </w:lvl>
    <w:lvl w:ilvl="8" w:tentative="0">
      <w:start w:val="1"/>
      <w:numFmt w:val="lowerRoman"/>
      <w:lvlText w:val="%9."/>
      <w:lvlJc w:val="right"/>
      <w:pPr>
        <w:tabs>
          <w:tab w:val="left" w:pos="5178"/>
        </w:tabs>
        <w:ind w:left="5178"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55"/>
    <w:rsid w:val="000D02FF"/>
    <w:rsid w:val="000F11C3"/>
    <w:rsid w:val="001E33D0"/>
    <w:rsid w:val="001F0F7B"/>
    <w:rsid w:val="00245999"/>
    <w:rsid w:val="00245ADF"/>
    <w:rsid w:val="00490E54"/>
    <w:rsid w:val="004C1414"/>
    <w:rsid w:val="004D24FE"/>
    <w:rsid w:val="004F276E"/>
    <w:rsid w:val="00567D5C"/>
    <w:rsid w:val="00602E57"/>
    <w:rsid w:val="00696B68"/>
    <w:rsid w:val="00887A62"/>
    <w:rsid w:val="008C6885"/>
    <w:rsid w:val="008D3355"/>
    <w:rsid w:val="008F615F"/>
    <w:rsid w:val="009B7B53"/>
    <w:rsid w:val="00A83959"/>
    <w:rsid w:val="00A9234A"/>
    <w:rsid w:val="00AB1D9E"/>
    <w:rsid w:val="00B00460"/>
    <w:rsid w:val="00BB5CC2"/>
    <w:rsid w:val="00BD387F"/>
    <w:rsid w:val="00C41395"/>
    <w:rsid w:val="00D25B3E"/>
    <w:rsid w:val="00E0310F"/>
    <w:rsid w:val="00E52F78"/>
    <w:rsid w:val="00F230B7"/>
    <w:rsid w:val="00F40F29"/>
    <w:rsid w:val="00F63224"/>
    <w:rsid w:val="2A3471BB"/>
    <w:rsid w:val="442F3C8F"/>
    <w:rsid w:val="72E8431C"/>
    <w:rsid w:val="7D796D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脚 Char"/>
    <w:link w:val="3"/>
    <w:qFormat/>
    <w:uiPriority w:val="99"/>
    <w:rPr>
      <w:kern w:val="2"/>
      <w:sz w:val="18"/>
      <w:szCs w:val="18"/>
    </w:rPr>
  </w:style>
  <w:style w:type="character" w:customStyle="1" w:styleId="9">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3498</Words>
  <Characters>3499</Characters>
  <Lines>28</Lines>
  <Paragraphs>8</Paragraphs>
  <TotalTime>0</TotalTime>
  <ScaleCrop>false</ScaleCrop>
  <LinksUpToDate>false</LinksUpToDate>
  <CharactersWithSpaces>3618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2007-08-30T00:08:00Z</dcterms:created>
  <dc:creator>walkinnet</dc:creator>
  <cp:lastModifiedBy>lln</cp:lastModifiedBy>
  <dcterms:modified xsi:type="dcterms:W3CDTF">2025-08-15T08:56:50Z</dcterms:modified>
  <dc:title>永兴特种不锈钢股份有限公司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BA26D92F4F6A43DBB0F2D7100DB6942B_13</vt:lpwstr>
  </property>
</Properties>
</file>